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val="false"/>
        <w:suppressAutoHyphens w:val="true"/>
        <w:rPr>
          <w:color w:val="000000"/>
          <w:highlight w:val="white"/>
        </w:rPr>
      </w:pPr>
      <w:bookmarkStart w:id="0" w:name="_GoBack"/>
      <w:bookmarkEnd w:id="0"/>
      <w:r>
        <w:rPr>
          <w:color w:val="000000"/>
          <w:highlight w:val="white"/>
        </w:rPr>
        <w:t xml:space="preserve"> </w:t>
      </w:r>
    </w:p>
    <w:tbl>
      <w:tblPr>
        <w:tblW w:w="10215" w:type="dxa"/>
        <w:jc w:val="left"/>
        <w:tblInd w:w="-1" w:type="dxa"/>
        <w:tblLayout w:type="fixed"/>
        <w:tblCellMar>
          <w:top w:w="0" w:type="dxa"/>
          <w:left w:w="108" w:type="dxa"/>
          <w:bottom w:w="0" w:type="dxa"/>
          <w:right w:w="108" w:type="dxa"/>
        </w:tblCellMar>
      </w:tblPr>
      <w:tblGrid>
        <w:gridCol w:w="3855"/>
        <w:gridCol w:w="1585"/>
        <w:gridCol w:w="4775"/>
      </w:tblGrid>
      <w:tr>
        <w:trPr>
          <w:trHeight w:val="1569" w:hRule="atLeast"/>
        </w:trPr>
        <w:tc>
          <w:tcPr>
            <w:tcW w:w="3855" w:type="dxa"/>
            <w:tcBorders/>
            <w:shd w:fill="FFFFFF" w:val="clear"/>
          </w:tcPr>
          <w:p>
            <w:pPr>
              <w:pStyle w:val="Normal"/>
              <w:widowControl w:val="false"/>
              <w:snapToGrid w:val="false"/>
              <w:spacing w:lineRule="auto" w:line="240" w:before="0" w:after="0"/>
              <w:jc w:val="center"/>
              <w:rPr>
                <w:rFonts w:ascii="Times New Roman" w:hAnsi="Times New Roman" w:cs="Times New Roman"/>
                <w:b/>
                <w:bCs/>
                <w:sz w:val="16"/>
                <w:szCs w:val="24"/>
                <w:lang w:val="en-US"/>
              </w:rPr>
            </w:pPr>
            <w:r>
              <w:rPr>
                <w:rFonts w:cs="Times New Roman"/>
                <w:b/>
                <w:bCs/>
                <w:sz w:val="16"/>
                <w:szCs w:val="24"/>
                <w:lang w:val="en-US"/>
              </w:rPr>
            </w:r>
          </w:p>
          <w:p>
            <w:pPr>
              <w:pStyle w:val="Normal"/>
              <w:widowControl w:val="false"/>
              <w:spacing w:lineRule="auto" w:line="240" w:before="0" w:after="0"/>
              <w:ind w:hanging="0" w:left="-62" w:right="-108"/>
              <w:jc w:val="center"/>
              <w:rPr>
                <w:rFonts w:ascii="Times New Roman" w:hAnsi="Times New Roman" w:cs="Times New Roman"/>
                <w:b/>
                <w:bCs/>
                <w:sz w:val="20"/>
                <w:szCs w:val="24"/>
                <w:lang w:val="en-US"/>
              </w:rPr>
            </w:pPr>
            <w:r>
              <w:rPr>
                <w:rFonts w:cs="Times New Roman"/>
                <w:b/>
                <w:bCs/>
                <w:sz w:val="20"/>
                <w:szCs w:val="24"/>
                <w:lang w:val="en-US"/>
              </w:rPr>
            </w:r>
          </w:p>
          <w:p>
            <w:pPr>
              <w:pStyle w:val="Normal"/>
              <w:widowControl w:val="false"/>
              <w:spacing w:lineRule="auto" w:line="276" w:before="0" w:after="0"/>
              <w:jc w:val="center"/>
              <w:rPr/>
            </w:pPr>
            <w:r>
              <w:rPr>
                <w:rFonts w:cs="Times New Roman"/>
                <w:b/>
                <w:sz w:val="20"/>
                <w:lang w:val="ru-RU"/>
              </w:rPr>
              <w:t>КОМИ РЕСПУ</w:t>
            </w:r>
            <w:r>
              <w:rPr>
                <w:rFonts w:cs="Times New Roman"/>
                <w:b/>
                <w:sz w:val="20"/>
                <w:lang w:val="en-US"/>
              </w:rPr>
              <w:t>БЛИКАСА</w:t>
            </w:r>
            <w:r>
              <w:rPr>
                <w:rFonts w:cs="Times New Roman"/>
                <w:b/>
                <w:sz w:val="20"/>
                <w:lang w:val="ru-RU"/>
              </w:rPr>
              <w:t xml:space="preserve"> </w:t>
            </w:r>
            <w:r>
              <w:rPr>
                <w:rFonts w:cs="Times New Roman"/>
                <w:b/>
                <w:bCs/>
                <w:sz w:val="20"/>
                <w:lang w:val="ru-RU"/>
              </w:rPr>
              <w:t>«ВУКТЫЛ»</w:t>
            </w:r>
          </w:p>
          <w:p>
            <w:pPr>
              <w:pStyle w:val="Normal"/>
              <w:widowControl w:val="false"/>
              <w:spacing w:lineRule="auto" w:line="276" w:before="0" w:after="0"/>
              <w:jc w:val="center"/>
              <w:rPr/>
            </w:pPr>
            <w:r>
              <w:rPr>
                <w:rFonts w:eastAsia="Calibri" w:cs="Calibri"/>
                <w:b/>
                <w:sz w:val="20"/>
              </w:rPr>
              <w:t xml:space="preserve">  </w:t>
            </w:r>
            <w:r>
              <w:rPr>
                <w:rFonts w:cs="Times New Roman"/>
                <w:b/>
                <w:sz w:val="20"/>
                <w:szCs w:val="20"/>
              </w:rPr>
              <w:t>МУНИЦИПАЛЬН</w:t>
            </w:r>
            <w:r>
              <w:rPr>
                <w:rFonts w:eastAsia="Times New Roman" w:cs="Times New Roman"/>
                <w:b/>
                <w:sz w:val="20"/>
                <w:szCs w:val="20"/>
              </w:rPr>
              <w:t>Ö</w:t>
            </w:r>
            <w:r>
              <w:rPr>
                <w:rFonts w:cs="Times New Roman"/>
                <w:b/>
                <w:sz w:val="20"/>
                <w:szCs w:val="20"/>
              </w:rPr>
              <w:t xml:space="preserve">Й </w:t>
            </w:r>
            <w:r>
              <w:rPr>
                <w:rFonts w:cs="Times New Roman"/>
                <w:b/>
                <w:sz w:val="20"/>
              </w:rPr>
              <w:t>КЫТШЛ</w:t>
            </w:r>
            <w:r>
              <w:rPr>
                <w:rFonts w:eastAsia="Times New Roman" w:cs="Times New Roman"/>
                <w:b/>
                <w:sz w:val="20"/>
              </w:rPr>
              <w:t>ÖН</w:t>
            </w:r>
          </w:p>
          <w:p>
            <w:pPr>
              <w:pStyle w:val="Normal"/>
              <w:widowControl w:val="false"/>
              <w:spacing w:lineRule="auto" w:line="276" w:before="0" w:after="0"/>
              <w:ind w:hanging="0" w:left="-62" w:right="-108"/>
              <w:jc w:val="center"/>
              <w:rPr>
                <w:rFonts w:cs="Times New Roman"/>
                <w:b/>
                <w:bCs/>
                <w:sz w:val="20"/>
              </w:rPr>
            </w:pPr>
            <w:r>
              <w:rPr>
                <w:rFonts w:cs="Times New Roman"/>
                <w:b/>
                <w:bCs/>
                <w:sz w:val="20"/>
              </w:rPr>
              <w:t>АДМИНИСТРАЦИЯ</w:t>
            </w:r>
          </w:p>
          <w:p>
            <w:pPr>
              <w:pStyle w:val="Normal"/>
              <w:widowControl w:val="false"/>
              <w:spacing w:lineRule="auto" w:line="240" w:before="0" w:after="0"/>
              <w:ind w:hanging="0" w:left="0" w:right="-6599"/>
              <w:rPr>
                <w:rFonts w:ascii="Times New Roman" w:hAnsi="Times New Roman" w:cs="Times New Roman"/>
                <w:b/>
                <w:bCs/>
                <w:u w:val="single"/>
              </w:rPr>
            </w:pPr>
            <w:r>
              <w:rPr>
                <w:rFonts w:cs="Times New Roman"/>
                <w:b/>
                <w:bCs/>
                <w:u w:val="single"/>
              </w:rPr>
            </w:r>
          </w:p>
        </w:tc>
        <w:tc>
          <w:tcPr>
            <w:tcW w:w="1585" w:type="dxa"/>
            <w:tcBorders/>
            <w:shd w:fill="FFFFFF" w:val="clear"/>
          </w:tcPr>
          <w:p>
            <w:pPr>
              <w:pStyle w:val="Normal"/>
              <w:widowControl w:val="false"/>
              <w:spacing w:lineRule="auto" w:line="240" w:before="0" w:after="0"/>
              <w:rPr/>
            </w:pPr>
            <w:r>
              <w:rPr/>
              <w:drawing>
                <wp:inline distT="0" distB="0" distL="0" distR="0">
                  <wp:extent cx="913130" cy="104965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53" t="-52" r="-53" b="-52"/>
                          <a:stretch>
                            <a:fillRect/>
                          </a:stretch>
                        </pic:blipFill>
                        <pic:spPr bwMode="auto">
                          <a:xfrm>
                            <a:off x="0" y="0"/>
                            <a:ext cx="913130" cy="1049655"/>
                          </a:xfrm>
                          <a:prstGeom prst="rect">
                            <a:avLst/>
                          </a:prstGeom>
                        </pic:spPr>
                      </pic:pic>
                    </a:graphicData>
                  </a:graphic>
                </wp:inline>
              </w:drawing>
            </w:r>
          </w:p>
        </w:tc>
        <w:tc>
          <w:tcPr>
            <w:tcW w:w="4775" w:type="dxa"/>
            <w:tcBorders/>
            <w:shd w:fill="FFFFFF" w:val="clear"/>
          </w:tcPr>
          <w:p>
            <w:pPr>
              <w:pStyle w:val="Normal"/>
              <w:widowControl w:val="false"/>
              <w:snapToGrid w:val="false"/>
              <w:spacing w:lineRule="auto" w:line="240" w:before="0" w:after="0"/>
              <w:jc w:val="center"/>
              <w:rPr>
                <w:rFonts w:ascii="Times New Roman" w:hAnsi="Times New Roman" w:cs="Times New Roman"/>
                <w:b/>
                <w:bCs/>
                <w:sz w:val="16"/>
                <w:szCs w:val="24"/>
                <w:lang w:val="en-US"/>
              </w:rPr>
            </w:pPr>
            <w:r>
              <w:rPr>
                <w:rFonts w:cs="Times New Roman"/>
                <w:b/>
                <w:bCs/>
                <w:sz w:val="16"/>
                <w:szCs w:val="24"/>
                <w:lang w:val="en-US"/>
              </w:rPr>
            </w:r>
          </w:p>
          <w:p>
            <w:pPr>
              <w:pStyle w:val="Normal"/>
              <w:widowControl w:val="false"/>
              <w:spacing w:lineRule="auto" w:line="240" w:before="0" w:after="0"/>
              <w:ind w:hanging="61" w:left="-61" w:right="-153"/>
              <w:jc w:val="center"/>
              <w:rPr>
                <w:rFonts w:ascii="Times New Roman" w:hAnsi="Times New Roman" w:cs="Times New Roman"/>
                <w:b/>
                <w:bCs/>
                <w:sz w:val="20"/>
                <w:szCs w:val="24"/>
                <w:lang w:val="en-US"/>
              </w:rPr>
            </w:pPr>
            <w:r>
              <w:rPr>
                <w:rFonts w:cs="Times New Roman"/>
                <w:b/>
                <w:bCs/>
                <w:sz w:val="20"/>
                <w:szCs w:val="24"/>
                <w:lang w:val="en-US"/>
              </w:rPr>
            </w:r>
          </w:p>
          <w:p>
            <w:pPr>
              <w:pStyle w:val="Normal"/>
              <w:widowControl w:val="false"/>
              <w:spacing w:lineRule="auto" w:line="240" w:before="0" w:after="0"/>
              <w:ind w:hanging="61" w:left="-61" w:right="-153"/>
              <w:jc w:val="center"/>
              <w:rPr/>
            </w:pPr>
            <w:r>
              <w:rPr>
                <w:rFonts w:cs="Times New Roman"/>
                <w:b/>
                <w:bCs/>
                <w:sz w:val="20"/>
              </w:rPr>
              <w:t xml:space="preserve">АДМИНИСТРАЦИЯ </w:t>
            </w:r>
            <w:r>
              <w:rPr>
                <w:rFonts w:cs="Times New Roman"/>
                <w:b/>
                <w:bCs/>
                <w:sz w:val="20"/>
                <w:lang w:val="ru-RU"/>
              </w:rPr>
              <w:t>МУНИЦИПАЛЬНОГО</w:t>
            </w:r>
          </w:p>
          <w:p>
            <w:pPr>
              <w:pStyle w:val="Normal"/>
              <w:widowControl w:val="false"/>
              <w:spacing w:lineRule="auto" w:line="240" w:before="0" w:after="0"/>
              <w:ind w:hanging="61" w:left="-61" w:right="-153"/>
              <w:jc w:val="center"/>
              <w:rPr>
                <w:rFonts w:cs="Times New Roman"/>
                <w:b/>
                <w:bCs/>
                <w:sz w:val="20"/>
              </w:rPr>
            </w:pPr>
            <w:r>
              <w:rPr>
                <w:rFonts w:cs="Times New Roman"/>
                <w:b/>
                <w:bCs/>
                <w:sz w:val="20"/>
              </w:rPr>
              <w:t>ОКРУГА «ВУКТЫЛ»</w:t>
            </w:r>
          </w:p>
          <w:p>
            <w:pPr>
              <w:pStyle w:val="Normal"/>
              <w:widowControl w:val="false"/>
              <w:spacing w:lineRule="auto" w:line="240" w:before="0" w:after="0"/>
              <w:ind w:hanging="61" w:left="-61" w:right="-153"/>
              <w:jc w:val="center"/>
              <w:rPr>
                <w:rFonts w:cs="Times New Roman"/>
                <w:b/>
                <w:bCs/>
                <w:sz w:val="20"/>
                <w:szCs w:val="24"/>
              </w:rPr>
            </w:pPr>
            <w:r>
              <w:rPr>
                <w:rFonts w:cs="Times New Roman"/>
                <w:b/>
                <w:bCs/>
                <w:sz w:val="20"/>
                <w:szCs w:val="24"/>
              </w:rPr>
              <w:t>РЕСПУБЛИКИ КОМИ</w:t>
            </w:r>
          </w:p>
        </w:tc>
      </w:tr>
    </w:tbl>
    <w:p>
      <w:pPr>
        <w:pStyle w:val="Normal"/>
        <w:spacing w:before="0" w:after="0"/>
        <w:rPr>
          <w:rFonts w:cs="Times New Roman"/>
          <w:sz w:val="24"/>
          <w:szCs w:val="24"/>
        </w:rPr>
      </w:pPr>
      <w:r>
        <w:rPr>
          <w:rFonts w:cs="Times New Roman"/>
          <w:sz w:val="24"/>
          <w:szCs w:val="24"/>
        </w:rPr>
        <w:t>«___» февраля 2024 года</w:t>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tabs>
          <w:tab w:val="clear" w:pos="265"/>
          <w:tab w:val="left" w:pos="5400" w:leader="none"/>
          <w:tab w:val="left" w:pos="5940" w:leader="none"/>
          <w:tab w:val="left" w:pos="6480" w:leader="none"/>
        </w:tabs>
        <w:spacing w:lineRule="auto" w:line="240" w:before="0" w:after="480"/>
        <w:ind w:firstLine="567" w:left="0" w:right="0"/>
        <w:jc w:val="center"/>
        <w:rPr/>
      </w:pPr>
      <w:r>
        <w:rPr>
          <w:rFonts w:cs="Times New Roman"/>
          <w:b/>
          <w:sz w:val="34"/>
          <w:szCs w:val="34"/>
        </w:rPr>
        <w:t>Постановление № ___</w:t>
      </w:r>
      <w:r>
        <w:rPr>
          <w:rFonts w:cs="Times New Roman"/>
          <w:b/>
          <w:bCs/>
          <w:sz w:val="34"/>
          <w:szCs w:val="34"/>
        </w:rPr>
        <w:t>/___</w:t>
      </w:r>
    </w:p>
    <w:p>
      <w:pPr>
        <w:pStyle w:val="Normal"/>
        <w:widowControl/>
        <w:tabs>
          <w:tab w:val="clear" w:pos="265"/>
          <w:tab w:val="left" w:pos="3464" w:leader="none"/>
        </w:tabs>
        <w:suppressAutoHyphens w:val="true"/>
        <w:overflowPunct w:val="false"/>
        <w:bidi w:val="0"/>
        <w:spacing w:lineRule="auto" w:line="240" w:before="0" w:after="480"/>
        <w:ind w:hanging="0" w:left="0" w:right="5102"/>
        <w:jc w:val="both"/>
        <w:rPr/>
      </w:pPr>
      <w:r>
        <w:rPr>
          <w:rFonts w:cs="Times New Roman"/>
          <w:b/>
          <w:sz w:val="24"/>
          <w:szCs w:val="24"/>
        </w:rPr>
        <w:t xml:space="preserve">О внесении изменений в постановление администрации муниципального округа «Вуктыл» </w:t>
      </w:r>
      <w:r>
        <w:rPr>
          <w:rFonts w:cs="Times New Roman"/>
          <w:b/>
          <w:sz w:val="24"/>
          <w:szCs w:val="24"/>
          <w:lang w:val="ru-RU"/>
        </w:rPr>
        <w:t>Республики Коми</w:t>
      </w:r>
      <w:r>
        <w:rPr>
          <w:rFonts w:cs="Times New Roman"/>
          <w:b/>
          <w:sz w:val="24"/>
          <w:szCs w:val="24"/>
        </w:rPr>
        <w:t xml:space="preserve"> от 12 октября 2023 года № 10/304 «</w:t>
      </w:r>
      <w:r>
        <w:rPr>
          <w:rFonts w:cs="Times New Roman"/>
          <w:b/>
          <w:sz w:val="24"/>
          <w:szCs w:val="24"/>
          <w:lang w:val="ru-RU"/>
        </w:rPr>
        <w:t>Об утверждении муниципальной программы муниципального округа «Вуктыл» Республики Коми «Социальная защита населения»</w:t>
      </w:r>
      <w:r>
        <w:rPr>
          <w:rFonts w:cs="Times New Roman"/>
          <w:b/>
          <w:sz w:val="24"/>
          <w:szCs w:val="20"/>
          <w:lang w:val="ru-RU"/>
        </w:rPr>
        <w:t xml:space="preserve">  </w:t>
      </w:r>
    </w:p>
    <w:p>
      <w:pPr>
        <w:pStyle w:val="Normal"/>
        <w:suppressAutoHyphens w:val="false"/>
        <w:bidi w:val="0"/>
        <w:spacing w:lineRule="auto" w:line="240" w:before="0" w:after="0"/>
        <w:ind w:firstLine="709" w:left="0" w:right="0"/>
        <w:jc w:val="both"/>
        <w:rPr/>
      </w:pPr>
      <w:r>
        <w:rPr>
          <w:rFonts w:cs="Times New Roman"/>
          <w:sz w:val="24"/>
          <w:szCs w:val="24"/>
        </w:rPr>
        <w:t xml:space="preserve">В соответствии с Бюджетным кодексом Российской Федерации, </w:t>
      </w:r>
      <w:r>
        <w:rPr>
          <w:rFonts w:eastAsia="Calibri" w:cs="Times New Roman"/>
          <w:b w:val="false"/>
          <w:bCs/>
          <w:i w:val="false"/>
          <w:caps w:val="false"/>
          <w:smallCaps w:val="false"/>
          <w:color w:val="00000A"/>
          <w:spacing w:val="0"/>
          <w:sz w:val="24"/>
          <w:szCs w:val="24"/>
        </w:rPr>
        <w:t>решением Совета городского округа «Вуктыл» от 21 июля 2023 года № 198 «</w:t>
      </w:r>
      <w:r>
        <w:rPr>
          <w:rFonts w:eastAsia="Calibri" w:cs="Times New Roman"/>
          <w:b w:val="false"/>
          <w:bCs w:val="false"/>
          <w:i w:val="false"/>
          <w:caps w:val="false"/>
          <w:smallCaps w:val="false"/>
          <w:color w:val="00000A"/>
          <w:spacing w:val="0"/>
          <w:sz w:val="24"/>
          <w:szCs w:val="24"/>
        </w:rPr>
        <w:t>О правопреемстве муниципальных правовых актов</w:t>
      </w:r>
      <w:r>
        <w:rPr>
          <w:rFonts w:eastAsia="Calibri" w:cs="Times New Roman"/>
          <w:b w:val="false"/>
          <w:bCs/>
          <w:i w:val="false"/>
          <w:caps w:val="false"/>
          <w:smallCaps w:val="false"/>
          <w:color w:val="00000A"/>
          <w:spacing w:val="0"/>
          <w:sz w:val="24"/>
          <w:szCs w:val="24"/>
        </w:rPr>
        <w:t>»,</w:t>
      </w:r>
      <w:r>
        <w:rPr>
          <w:rFonts w:cs="Times New Roman"/>
          <w:sz w:val="24"/>
          <w:szCs w:val="24"/>
        </w:rPr>
        <w:t xml:space="preserve"> </w:t>
      </w:r>
      <w:r>
        <w:rPr>
          <w:rFonts w:eastAsia="Calibri" w:cs="Times New Roman"/>
          <w:b w:val="false"/>
          <w:bCs/>
          <w:i w:val="false"/>
          <w:caps w:val="false"/>
          <w:smallCaps w:val="false"/>
          <w:color w:val="00000A"/>
          <w:spacing w:val="0"/>
          <w:sz w:val="24"/>
          <w:szCs w:val="24"/>
        </w:rPr>
        <w:t xml:space="preserve">решением Совета муниципального округа «Вуктыл» Республики Коми от 12 декабря 2023 года № 45 «О бюджете муниципального округа «Вуктыл» Республики Коми на 2024 год и плановый период 2025 и 2026 годов», </w:t>
      </w:r>
      <w:r>
        <w:rPr>
          <w:rFonts w:cs="Times New Roman"/>
          <w:sz w:val="24"/>
          <w:szCs w:val="24"/>
        </w:rPr>
        <w:t>постановлением администрации городского округа «Вуктыл» от 03 октября 2016 года № 10/509 «Об утверждении Порядка принятия решений о разработке муниципальных программ городского округа «Вуктыл», их формирования и реализации» администрация муниципального округа «Вуктыл» Республики Коми постановляет:</w:t>
      </w:r>
    </w:p>
    <w:p>
      <w:pPr>
        <w:pStyle w:val="Normal"/>
        <w:suppressAutoHyphens w:val="false"/>
        <w:bidi w:val="0"/>
        <w:spacing w:lineRule="auto" w:line="240" w:before="0" w:after="0"/>
        <w:ind w:firstLine="709" w:left="0" w:right="0"/>
        <w:jc w:val="both"/>
        <w:rPr/>
      </w:pPr>
      <w:r>
        <w:rPr>
          <w:rFonts w:cs="Times New Roman"/>
          <w:color w:val="000000"/>
          <w:sz w:val="24"/>
          <w:szCs w:val="24"/>
          <w:shd w:fill="auto" w:val="clear"/>
          <w:lang w:val="ru-RU"/>
        </w:rPr>
        <w:t>1. Внести в постановление администрации муниципального округа «Вуктыл» Республики Коми от 12 октября 2023 года № 10/304 «Об утверждении муниципальной программы муниципального округа «Вуктыл» Республики Коми «Социальная защита населения» изменения согласно приложению.</w:t>
      </w:r>
    </w:p>
    <w:p>
      <w:pPr>
        <w:pStyle w:val="Normal"/>
        <w:suppressAutoHyphens w:val="false"/>
        <w:bidi w:val="0"/>
        <w:spacing w:lineRule="auto" w:line="240" w:before="0" w:after="0"/>
        <w:ind w:firstLine="709" w:left="0" w:right="0"/>
        <w:jc w:val="both"/>
        <w:rPr/>
      </w:pPr>
      <w:r>
        <w:rPr>
          <w:rFonts w:eastAsia="Calibri" w:cs="Times New Roman"/>
          <w:color w:val="000000"/>
          <w:sz w:val="24"/>
          <w:szCs w:val="24"/>
          <w:shd w:fill="auto" w:val="clear"/>
          <w:lang w:val="ru-RU" w:eastAsia="en-US"/>
        </w:rPr>
        <w:t xml:space="preserve">2. </w:t>
      </w:r>
      <w:r>
        <w:rPr>
          <w:rFonts w:eastAsia="Calibri" w:cs="Times New Roman"/>
          <w:color w:val="auto"/>
          <w:sz w:val="24"/>
          <w:szCs w:val="24"/>
          <w:lang w:val="ru-RU" w:eastAsia="en-US"/>
        </w:rPr>
        <w:t>Настоящее постановление подлежит опубликованию (обнародованию).</w:t>
      </w:r>
    </w:p>
    <w:p>
      <w:pPr>
        <w:pStyle w:val="Normal"/>
        <w:suppressAutoHyphens w:val="false"/>
        <w:bidi w:val="0"/>
        <w:spacing w:lineRule="auto" w:line="240" w:before="0" w:after="0"/>
        <w:ind w:firstLine="709" w:left="0" w:right="0"/>
        <w:jc w:val="both"/>
        <w:rPr/>
      </w:pPr>
      <w:r>
        <w:rPr>
          <w:rFonts w:eastAsia="Calibri" w:cs="Times New Roman"/>
          <w:color w:val="auto"/>
          <w:sz w:val="24"/>
          <w:szCs w:val="24"/>
          <w:lang w:val="ru-RU" w:eastAsia="en-US"/>
        </w:rPr>
        <w:t>3. Заведующему сектором расчетов и закупок администрации муниципального округа «Вуктыл» Республики Коми А.В. Подгорбунской обеспечить исполнение настоящего постановления.</w:t>
      </w:r>
    </w:p>
    <w:p>
      <w:pPr>
        <w:pStyle w:val="Normal"/>
        <w:suppressAutoHyphens w:val="false"/>
        <w:bidi w:val="0"/>
        <w:spacing w:lineRule="auto" w:line="240" w:before="0" w:after="0"/>
        <w:ind w:firstLine="709" w:left="0" w:right="0"/>
        <w:jc w:val="both"/>
        <w:rPr/>
      </w:pPr>
      <w:r>
        <w:rPr>
          <w:rFonts w:eastAsia="Calibri" w:cs="Times New Roman"/>
          <w:color w:val="000000"/>
          <w:sz w:val="24"/>
          <w:szCs w:val="24"/>
          <w:shd w:fill="auto" w:val="clear"/>
          <w:lang w:val="ru-RU" w:eastAsia="en-US"/>
        </w:rPr>
        <w:t xml:space="preserve">4. </w:t>
      </w:r>
      <w:r>
        <w:rPr>
          <w:rFonts w:cs="Times New Roman"/>
          <w:color w:val="000000"/>
          <w:sz w:val="24"/>
          <w:szCs w:val="24"/>
          <w:shd w:fill="auto" w:val="clear"/>
          <w:lang w:val="ru-RU"/>
        </w:rPr>
        <w:t xml:space="preserve">Контроль за исполнением настоящего постановления возложить на заместителя руководителя администрации муниципального округа «Вуктыл» Республики Коми - начальника Финансового управления администрации муниципального округа «Вуктыл» Республики Коми В.А. Бабину. </w:t>
      </w:r>
    </w:p>
    <w:p>
      <w:pPr>
        <w:pStyle w:val="BodyText"/>
        <w:tabs>
          <w:tab w:val="clear" w:pos="265"/>
          <w:tab w:val="left" w:pos="567" w:leader="none"/>
          <w:tab w:val="left" w:pos="993" w:leader="none"/>
        </w:tabs>
        <w:bidi w:val="0"/>
        <w:spacing w:lineRule="auto" w:line="240" w:before="0" w:after="0"/>
        <w:ind w:firstLine="709" w:left="0" w:right="0"/>
        <w:jc w:val="both"/>
        <w:rPr>
          <w:rFonts w:ascii="Times New Roman" w:hAnsi="Times New Roman"/>
          <w:sz w:val="24"/>
          <w:szCs w:val="24"/>
        </w:rPr>
      </w:pPr>
      <w:r>
        <w:rPr>
          <w:sz w:val="24"/>
          <w:szCs w:val="24"/>
        </w:rPr>
      </w:r>
    </w:p>
    <w:p>
      <w:pPr>
        <w:pStyle w:val="BodyText"/>
        <w:tabs>
          <w:tab w:val="clear" w:pos="265"/>
          <w:tab w:val="left" w:pos="567" w:leader="none"/>
          <w:tab w:val="left" w:pos="993" w:leader="none"/>
        </w:tabs>
        <w:bidi w:val="0"/>
        <w:spacing w:lineRule="auto" w:line="240" w:before="0" w:after="0"/>
        <w:ind w:firstLine="709" w:left="0" w:right="0"/>
        <w:jc w:val="both"/>
        <w:rPr>
          <w:rFonts w:ascii="Times New Roman" w:hAnsi="Times New Roman"/>
          <w:sz w:val="24"/>
          <w:szCs w:val="24"/>
        </w:rPr>
      </w:pPr>
      <w:r>
        <w:rPr>
          <w:sz w:val="24"/>
          <w:szCs w:val="24"/>
        </w:rPr>
      </w:r>
    </w:p>
    <w:p>
      <w:pPr>
        <w:pStyle w:val="BodyText"/>
        <w:tabs>
          <w:tab w:val="clear" w:pos="265"/>
          <w:tab w:val="left" w:pos="567" w:leader="none"/>
          <w:tab w:val="left" w:pos="993" w:leader="none"/>
        </w:tabs>
        <w:bidi w:val="0"/>
        <w:spacing w:lineRule="auto" w:line="240" w:before="0" w:after="0"/>
        <w:ind w:firstLine="709" w:left="0" w:right="0"/>
        <w:jc w:val="both"/>
        <w:rPr>
          <w:rFonts w:ascii="Times New Roman" w:hAnsi="Times New Roman"/>
          <w:sz w:val="24"/>
          <w:szCs w:val="24"/>
        </w:rPr>
      </w:pPr>
      <w:r>
        <w:rPr>
          <w:sz w:val="24"/>
          <w:szCs w:val="24"/>
        </w:rPr>
      </w:r>
    </w:p>
    <w:p>
      <w:pPr>
        <w:pStyle w:val="Normal"/>
        <w:spacing w:lineRule="auto" w:line="240" w:before="0" w:after="0"/>
        <w:jc w:val="both"/>
        <w:rPr>
          <w:rFonts w:cs="Times New Roman"/>
          <w:sz w:val="24"/>
          <w:szCs w:val="24"/>
        </w:rPr>
      </w:pPr>
      <w:r>
        <w:rPr>
          <w:rFonts w:cs="Times New Roman"/>
          <w:sz w:val="24"/>
          <w:szCs w:val="24"/>
        </w:rPr>
        <w:t>Глава муниципального  округа «Вуктыл»</w:t>
      </w:r>
    </w:p>
    <w:p>
      <w:pPr>
        <w:pStyle w:val="Normal"/>
        <w:spacing w:lineRule="auto" w:line="240" w:before="0" w:after="0"/>
        <w:jc w:val="both"/>
        <w:rPr>
          <w:rFonts w:cs="Times New Roman"/>
          <w:sz w:val="24"/>
          <w:szCs w:val="24"/>
        </w:rPr>
      </w:pPr>
      <w:r>
        <w:rPr>
          <w:rFonts w:cs="Times New Roman"/>
          <w:sz w:val="24"/>
          <w:szCs w:val="24"/>
        </w:rPr>
        <w:t>Республики Коми - руководитель администрации                                              Н.В. Новикова</w:t>
      </w:r>
    </w:p>
    <w:p>
      <w:pPr>
        <w:pStyle w:val="Normal"/>
        <w:spacing w:before="0" w:after="0"/>
        <w:rPr>
          <w:color w:val="000000"/>
          <w:sz w:val="14"/>
          <w:szCs w:val="14"/>
          <w:highlight w:val="white"/>
        </w:rPr>
      </w:pPr>
      <w:r>
        <w:rPr>
          <w:color w:val="000000"/>
          <w:sz w:val="14"/>
          <w:szCs w:val="14"/>
          <w:highlight w:val="white"/>
        </w:rPr>
      </w:r>
    </w:p>
    <w:p>
      <w:pPr>
        <w:pStyle w:val="Normal"/>
        <w:spacing w:before="0" w:after="0"/>
        <w:rPr>
          <w:color w:val="000000"/>
          <w:sz w:val="14"/>
          <w:szCs w:val="14"/>
          <w:highlight w:val="white"/>
        </w:rPr>
      </w:pPr>
      <w:r>
        <w:rPr>
          <w:color w:val="000000"/>
          <w:sz w:val="14"/>
          <w:szCs w:val="14"/>
          <w:highlight w:val="white"/>
        </w:rPr>
      </w:r>
    </w:p>
    <w:p>
      <w:pPr>
        <w:pStyle w:val="Normal"/>
        <w:spacing w:before="0" w:after="0"/>
        <w:rPr>
          <w:color w:val="000000"/>
          <w:sz w:val="14"/>
          <w:szCs w:val="14"/>
          <w:highlight w:val="white"/>
        </w:rPr>
      </w:pPr>
      <w:r>
        <w:rPr>
          <w:color w:val="000000"/>
          <w:sz w:val="14"/>
          <w:szCs w:val="14"/>
          <w:highlight w:val="white"/>
        </w:rPr>
      </w:r>
    </w:p>
    <w:p>
      <w:pPr>
        <w:pStyle w:val="Normal"/>
        <w:spacing w:before="0" w:after="0"/>
        <w:rPr>
          <w:color w:val="000000"/>
          <w:sz w:val="14"/>
          <w:szCs w:val="14"/>
          <w:highlight w:val="white"/>
        </w:rPr>
      </w:pPr>
      <w:r>
        <w:rPr>
          <w:color w:val="000000"/>
          <w:sz w:val="14"/>
          <w:szCs w:val="14"/>
          <w:highlight w:val="white"/>
        </w:rPr>
      </w:r>
    </w:p>
    <w:p>
      <w:pPr>
        <w:pStyle w:val="Normal"/>
        <w:spacing w:before="0" w:after="0"/>
        <w:rPr>
          <w:color w:val="000000"/>
          <w:sz w:val="14"/>
          <w:szCs w:val="14"/>
          <w:highlight w:val="white"/>
        </w:rPr>
      </w:pPr>
      <w:r>
        <w:rPr>
          <w:color w:val="000000"/>
          <w:sz w:val="14"/>
          <w:szCs w:val="14"/>
          <w:highlight w:val="white"/>
        </w:rPr>
      </w:r>
    </w:p>
    <w:p>
      <w:pPr>
        <w:pStyle w:val="Normal"/>
        <w:spacing w:before="0" w:after="0"/>
        <w:rPr>
          <w:color w:val="000000"/>
          <w:sz w:val="14"/>
          <w:szCs w:val="14"/>
          <w:highlight w:val="white"/>
        </w:rPr>
      </w:pPr>
      <w:r>
        <w:rPr>
          <w:color w:val="000000"/>
          <w:sz w:val="14"/>
          <w:szCs w:val="14"/>
          <w:highlight w:val="white"/>
        </w:rPr>
      </w:r>
    </w:p>
    <w:p>
      <w:pPr>
        <w:pStyle w:val="Normal"/>
        <w:spacing w:before="0" w:after="0"/>
        <w:rPr>
          <w:color w:val="000000"/>
          <w:sz w:val="14"/>
          <w:szCs w:val="14"/>
          <w:highlight w:val="white"/>
        </w:rPr>
      </w:pPr>
      <w:r>
        <w:rPr>
          <w:color w:val="000000"/>
          <w:sz w:val="14"/>
          <w:szCs w:val="14"/>
          <w:highlight w:val="white"/>
        </w:rPr>
      </w:r>
    </w:p>
    <w:p>
      <w:pPr>
        <w:pStyle w:val="Normal"/>
        <w:pageBreakBefore w:val="false"/>
        <w:widowControl w:val="false"/>
        <w:tabs>
          <w:tab w:val="clear" w:pos="265"/>
          <w:tab w:val="left" w:pos="142" w:leader="none"/>
          <w:tab w:val="left" w:pos="284" w:leader="none"/>
          <w:tab w:val="left" w:pos="8505" w:leader="none"/>
          <w:tab w:val="left" w:pos="9072" w:leader="none"/>
        </w:tabs>
        <w:ind w:hanging="0" w:left="0" w:right="0"/>
        <w:jc w:val="both"/>
        <w:rPr>
          <w:color w:val="00000A"/>
        </w:rPr>
      </w:pPr>
      <w:r>
        <w:rPr>
          <w:color w:val="00000A"/>
        </w:rPr>
      </w:r>
    </w:p>
    <w:p>
      <w:pPr>
        <w:pStyle w:val="Normal"/>
        <w:widowControl w:val="false"/>
        <w:tabs>
          <w:tab w:val="clear" w:pos="265"/>
          <w:tab w:val="left" w:pos="142" w:leader="none"/>
          <w:tab w:val="left" w:pos="284" w:leader="none"/>
          <w:tab w:val="left" w:pos="8505" w:leader="none"/>
          <w:tab w:val="left" w:pos="9072" w:leader="none"/>
        </w:tabs>
        <w:ind w:hanging="0" w:left="0" w:right="0"/>
        <w:jc w:val="both"/>
        <w:rPr>
          <w:color w:val="000000"/>
          <w:highlight w:val="white"/>
        </w:rPr>
      </w:pPr>
      <w:r>
        <w:rPr>
          <w:b w:val="false"/>
          <w:bCs w:val="false"/>
          <w:color w:val="000000"/>
          <w:sz w:val="21"/>
          <w:szCs w:val="21"/>
          <w:highlight w:val="white"/>
          <w:lang w:eastAsia="ru-RU"/>
        </w:rPr>
      </w:r>
    </w:p>
    <w:tbl>
      <w:tblPr>
        <w:tblW w:w="9497" w:type="dxa"/>
        <w:jc w:val="left"/>
        <w:tblInd w:w="55" w:type="dxa"/>
        <w:tblLayout w:type="fixed"/>
        <w:tblCellMar>
          <w:top w:w="55" w:type="dxa"/>
          <w:left w:w="55" w:type="dxa"/>
          <w:bottom w:w="55" w:type="dxa"/>
          <w:right w:w="55" w:type="dxa"/>
        </w:tblCellMar>
      </w:tblPr>
      <w:tblGrid>
        <w:gridCol w:w="4600"/>
        <w:gridCol w:w="4896"/>
      </w:tblGrid>
      <w:tr>
        <w:trPr/>
        <w:tc>
          <w:tcPr>
            <w:tcW w:w="4600" w:type="dxa"/>
            <w:tcBorders/>
            <w:shd w:fill="FFFFFF" w:val="clear"/>
          </w:tcPr>
          <w:p>
            <w:pPr>
              <w:pStyle w:val="Style28"/>
              <w:widowControl w:val="false"/>
              <w:snapToGrid w:val="false"/>
              <w:spacing w:lineRule="auto" w:line="240" w:before="0" w:after="200"/>
              <w:jc w:val="center"/>
              <w:rPr>
                <w:rFonts w:ascii="Times New Roman" w:hAnsi="Times New Roman" w:cs="Times New Roman"/>
                <w:color w:val="00000A"/>
                <w:highlight w:val="white"/>
              </w:rPr>
            </w:pPr>
            <w:r>
              <w:rPr>
                <w:rFonts w:cs="Times New Roman"/>
                <w:color w:val="00000A"/>
                <w:highlight w:val="white"/>
              </w:rPr>
            </w:r>
          </w:p>
        </w:tc>
        <w:tc>
          <w:tcPr>
            <w:tcW w:w="4896" w:type="dxa"/>
            <w:tcBorders/>
            <w:shd w:fill="FFFFFF" w:val="clear"/>
          </w:tcPr>
          <w:p>
            <w:pPr>
              <w:pStyle w:val="Normal"/>
              <w:widowControl w:val="false"/>
              <w:spacing w:lineRule="auto" w:line="240" w:before="0" w:after="0"/>
              <w:ind w:hanging="0" w:left="0" w:right="0"/>
              <w:jc w:val="center"/>
              <w:rPr/>
            </w:pPr>
            <w:r>
              <w:rPr>
                <w:rFonts w:cs="Times New Roman"/>
                <w:color w:val="00000A"/>
                <w:sz w:val="24"/>
                <w:szCs w:val="24"/>
              </w:rPr>
              <w:t>ПРИЛОЖЕНИЕ</w:t>
            </w:r>
          </w:p>
          <w:p>
            <w:pPr>
              <w:pStyle w:val="Normal"/>
              <w:widowControl w:val="false"/>
              <w:spacing w:lineRule="auto" w:line="240" w:before="0" w:after="0"/>
              <w:ind w:hanging="0" w:left="0" w:right="-2"/>
              <w:jc w:val="center"/>
              <w:rPr/>
            </w:pPr>
            <w:r>
              <w:rPr>
                <w:rFonts w:cs="Times New Roman"/>
                <w:color w:val="00000A"/>
                <w:sz w:val="24"/>
                <w:szCs w:val="24"/>
              </w:rPr>
              <w:t>к постановлению администрации</w:t>
            </w:r>
          </w:p>
          <w:p>
            <w:pPr>
              <w:pStyle w:val="Normal"/>
              <w:widowControl w:val="false"/>
              <w:suppressAutoHyphens w:val="true"/>
              <w:overflowPunct w:val="true"/>
              <w:bidi w:val="0"/>
              <w:spacing w:lineRule="auto" w:line="240" w:before="0" w:after="0"/>
              <w:ind w:hanging="0" w:left="0" w:right="0"/>
              <w:jc w:val="center"/>
              <w:rPr/>
            </w:pPr>
            <w:r>
              <w:rPr>
                <w:rFonts w:cs="Times New Roman"/>
                <w:color w:val="00000A"/>
                <w:sz w:val="24"/>
                <w:szCs w:val="24"/>
              </w:rPr>
              <w:t>муниципального округа «Вуктыл»</w:t>
            </w:r>
          </w:p>
          <w:p>
            <w:pPr>
              <w:pStyle w:val="Normal"/>
              <w:widowControl w:val="false"/>
              <w:suppressAutoHyphens w:val="true"/>
              <w:overflowPunct w:val="true"/>
              <w:bidi w:val="0"/>
              <w:spacing w:lineRule="auto" w:line="240" w:before="0" w:after="0"/>
              <w:ind w:hanging="0" w:left="0" w:right="0"/>
              <w:jc w:val="center"/>
              <w:rPr/>
            </w:pPr>
            <w:r>
              <w:rPr>
                <w:rFonts w:cs="Times New Roman"/>
                <w:color w:val="00000A"/>
                <w:sz w:val="24"/>
                <w:szCs w:val="24"/>
              </w:rPr>
              <w:t>Республики Коми</w:t>
            </w:r>
          </w:p>
          <w:p>
            <w:pPr>
              <w:pStyle w:val="Normal"/>
              <w:widowControl w:val="false"/>
              <w:spacing w:lineRule="auto" w:line="240" w:before="0" w:after="0"/>
              <w:ind w:hanging="0" w:left="0" w:right="-2"/>
              <w:jc w:val="center"/>
              <w:rPr/>
            </w:pPr>
            <w:r>
              <w:rPr>
                <w:rFonts w:eastAsia="Times New Roman" w:cs="Times New Roman"/>
                <w:color w:val="00000A"/>
                <w:sz w:val="24"/>
                <w:szCs w:val="24"/>
                <w:lang w:val="ru-RU" w:eastAsia="ru-RU"/>
              </w:rPr>
              <w:t>от «___» февраля 2024 г. № ___/___</w:t>
            </w:r>
          </w:p>
          <w:p>
            <w:pPr>
              <w:pStyle w:val="Normal"/>
              <w:widowControl w:val="false"/>
              <w:spacing w:lineRule="auto" w:line="240" w:before="0" w:after="0"/>
              <w:ind w:hanging="0" w:left="0" w:right="-2"/>
              <w:jc w:val="center"/>
              <w:rPr>
                <w:rFonts w:ascii="Times New Roman" w:hAnsi="Times New Roman" w:cs="Times New Roman"/>
                <w:color w:val="00000A"/>
              </w:rPr>
            </w:pPr>
            <w:r>
              <w:rPr>
                <w:rFonts w:cs="Times New Roman"/>
                <w:color w:val="00000A"/>
              </w:rPr>
            </w:r>
          </w:p>
        </w:tc>
      </w:tr>
    </w:tbl>
    <w:p>
      <w:pPr>
        <w:pStyle w:val="Normal"/>
        <w:widowControl w:val="false"/>
        <w:suppressAutoHyphens w:val="true"/>
        <w:rPr>
          <w:color w:val="00000A"/>
          <w:highlight w:val="white"/>
        </w:rPr>
      </w:pPr>
      <w:r>
        <w:rPr>
          <w:color w:val="00000A"/>
          <w:highlight w:val="white"/>
        </w:rPr>
      </w:r>
    </w:p>
    <w:p>
      <w:pPr>
        <w:pStyle w:val="Normal"/>
        <w:widowControl w:val="false"/>
        <w:suppressAutoHyphens w:val="true"/>
        <w:rPr>
          <w:color w:val="00000A"/>
          <w:highlight w:val="white"/>
        </w:rPr>
      </w:pPr>
      <w:r>
        <w:rPr>
          <w:color w:val="00000A"/>
          <w:highlight w:val="white"/>
        </w:rPr>
      </w:r>
    </w:p>
    <w:p>
      <w:pPr>
        <w:pStyle w:val="Normal"/>
        <w:widowControl w:val="false"/>
        <w:bidi w:val="0"/>
        <w:spacing w:lineRule="auto" w:line="240" w:before="0" w:after="0"/>
        <w:jc w:val="center"/>
        <w:rPr/>
      </w:pPr>
      <w:r>
        <w:rPr>
          <w:rFonts w:cs="Times New Roman"/>
          <w:b/>
          <w:bCs/>
          <w:color w:val="auto"/>
          <w:sz w:val="24"/>
          <w:szCs w:val="24"/>
        </w:rPr>
        <w:t>Изменения,</w:t>
      </w:r>
    </w:p>
    <w:p>
      <w:pPr>
        <w:pStyle w:val="BodyText"/>
        <w:bidi w:val="0"/>
        <w:spacing w:lineRule="auto" w:line="240"/>
        <w:jc w:val="center"/>
        <w:rPr>
          <w:rFonts w:ascii="Times New Roman" w:hAnsi="Times New Roman"/>
          <w:sz w:val="24"/>
          <w:szCs w:val="24"/>
        </w:rPr>
      </w:pPr>
      <w:r>
        <w:rPr>
          <w:b/>
          <w:bCs/>
          <w:color w:val="auto"/>
          <w:sz w:val="24"/>
          <w:szCs w:val="24"/>
        </w:rPr>
        <w:t xml:space="preserve">вносимые в постановление администрации муниципального округа «Вуктыл» Республики Коми </w:t>
      </w:r>
      <w:r>
        <w:rPr>
          <w:rFonts w:cs="Times New Roman"/>
          <w:b/>
          <w:bCs/>
          <w:color w:val="auto"/>
          <w:sz w:val="24"/>
          <w:szCs w:val="24"/>
        </w:rPr>
        <w:t xml:space="preserve">от 12 октября 2023 года № 10/304 «Об утверждении муниципальной программы муниципального округа «Вуктыл» Республики Коми </w:t>
      </w:r>
    </w:p>
    <w:p>
      <w:pPr>
        <w:pStyle w:val="BodyText"/>
        <w:bidi w:val="0"/>
        <w:spacing w:lineRule="auto" w:line="240"/>
        <w:jc w:val="center"/>
        <w:rPr>
          <w:rFonts w:ascii="Times New Roman" w:hAnsi="Times New Roman"/>
          <w:sz w:val="24"/>
          <w:szCs w:val="24"/>
        </w:rPr>
      </w:pPr>
      <w:r>
        <w:rPr>
          <w:rFonts w:cs="Times New Roman"/>
          <w:b/>
          <w:bCs/>
          <w:color w:val="auto"/>
          <w:sz w:val="24"/>
          <w:szCs w:val="24"/>
        </w:rPr>
        <w:t>«</w:t>
      </w:r>
      <w:r>
        <w:rPr>
          <w:rFonts w:cs="Times New Roman"/>
          <w:b/>
          <w:bCs/>
          <w:color w:val="auto"/>
          <w:sz w:val="24"/>
          <w:szCs w:val="24"/>
          <w:lang w:val="ru-RU"/>
        </w:rPr>
        <w:t>Социальная защита населения</w:t>
      </w:r>
      <w:r>
        <w:rPr>
          <w:rFonts w:cs="Times New Roman"/>
          <w:b/>
          <w:bCs/>
          <w:color w:val="auto"/>
          <w:sz w:val="24"/>
          <w:szCs w:val="24"/>
        </w:rPr>
        <w:t>»</w:t>
      </w:r>
    </w:p>
    <w:p>
      <w:pPr>
        <w:pStyle w:val="ConsPlusNormal"/>
        <w:jc w:val="right"/>
        <w:rPr>
          <w:rFonts w:ascii="Times New Roman" w:hAnsi="Times New Roman" w:cs="Times New Roman"/>
          <w:color w:val="auto"/>
          <w:sz w:val="24"/>
          <w:szCs w:val="24"/>
        </w:rPr>
      </w:pPr>
      <w:r>
        <w:rPr>
          <w:rFonts w:cs="Times New Roman" w:ascii="Times New Roman" w:hAnsi="Times New Roman"/>
          <w:color w:val="auto"/>
          <w:sz w:val="24"/>
          <w:szCs w:val="24"/>
        </w:rPr>
      </w:r>
    </w:p>
    <w:p>
      <w:pPr>
        <w:pStyle w:val="BodyText"/>
        <w:bidi w:val="0"/>
        <w:spacing w:lineRule="auto" w:line="240" w:before="0" w:after="0"/>
        <w:ind w:firstLine="709" w:left="0" w:right="0"/>
        <w:jc w:val="both"/>
        <w:rPr>
          <w:rFonts w:ascii="Times New Roman" w:hAnsi="Times New Roman"/>
          <w:sz w:val="24"/>
          <w:szCs w:val="24"/>
        </w:rPr>
      </w:pPr>
      <w:r>
        <w:rPr>
          <w:color w:val="auto"/>
          <w:sz w:val="24"/>
          <w:szCs w:val="24"/>
        </w:rPr>
        <w:t>В постановлении администрации муниципального округа «Вуктыл» Республики Коми от 12 октября 2023 года № 10/304 «Об утверждении муниципальной программы муниципального округа «Вуктыл» Республики Коми «</w:t>
      </w:r>
      <w:r>
        <w:rPr>
          <w:color w:val="auto"/>
          <w:sz w:val="24"/>
          <w:szCs w:val="24"/>
          <w:lang w:val="ru-RU"/>
        </w:rPr>
        <w:t>Социальная защита населения</w:t>
      </w:r>
      <w:r>
        <w:rPr>
          <w:color w:val="auto"/>
          <w:sz w:val="24"/>
          <w:szCs w:val="24"/>
        </w:rPr>
        <w:t>»:</w:t>
      </w:r>
    </w:p>
    <w:p>
      <w:pPr>
        <w:pStyle w:val="BodyText"/>
        <w:bidi w:val="0"/>
        <w:spacing w:lineRule="auto" w:line="240"/>
        <w:ind w:firstLine="709" w:left="0" w:right="0"/>
        <w:jc w:val="both"/>
        <w:rPr>
          <w:rFonts w:ascii="Times New Roman" w:hAnsi="Times New Roman"/>
          <w:sz w:val="24"/>
          <w:szCs w:val="24"/>
        </w:rPr>
      </w:pPr>
      <w:r>
        <w:rPr>
          <w:rFonts w:cs="Times New Roman"/>
          <w:color w:val="auto"/>
          <w:sz w:val="24"/>
          <w:szCs w:val="24"/>
        </w:rPr>
        <w:t>в муниципальной программе муниципального округа «Вуктыл» Республики Коми «</w:t>
      </w:r>
      <w:r>
        <w:rPr>
          <w:rFonts w:cs="Times New Roman"/>
          <w:color w:val="auto"/>
          <w:sz w:val="24"/>
          <w:szCs w:val="24"/>
          <w:lang w:val="ru-RU"/>
        </w:rPr>
        <w:t>Социальная защита населения</w:t>
      </w:r>
      <w:r>
        <w:rPr>
          <w:rFonts w:cs="Times New Roman"/>
          <w:color w:val="auto"/>
          <w:sz w:val="24"/>
          <w:szCs w:val="24"/>
        </w:rPr>
        <w:t>», утвержденной постановлением (приложение) (далее - муниципальная программа):</w:t>
      </w:r>
    </w:p>
    <w:p>
      <w:pPr>
        <w:pStyle w:val="BodyText"/>
        <w:bidi w:val="0"/>
        <w:spacing w:lineRule="auto" w:line="240"/>
        <w:ind w:firstLine="709" w:left="0" w:right="0"/>
        <w:jc w:val="both"/>
        <w:rPr>
          <w:rFonts w:ascii="Times New Roman" w:hAnsi="Times New Roman"/>
          <w:sz w:val="24"/>
          <w:szCs w:val="24"/>
        </w:rPr>
      </w:pPr>
      <w:r>
        <w:rPr>
          <w:rFonts w:cs="Times New Roman"/>
          <w:color w:val="auto"/>
          <w:sz w:val="24"/>
          <w:szCs w:val="24"/>
        </w:rPr>
        <w:t>1) строку «Объемы финансирования программы» таблицы № 1 изложить в следующей редакции:</w:t>
      </w:r>
    </w:p>
    <w:p>
      <w:pPr>
        <w:pStyle w:val="BodyText"/>
        <w:bidi w:val="0"/>
        <w:spacing w:lineRule="auto" w:line="240"/>
        <w:ind w:hanging="0" w:left="0" w:right="0"/>
        <w:jc w:val="left"/>
        <w:rPr/>
      </w:pPr>
      <w:r>
        <w:rPr/>
        <w:t>«</w:t>
      </w:r>
    </w:p>
    <w:tbl>
      <w:tblPr>
        <w:tblW w:w="9467" w:type="dxa"/>
        <w:jc w:val="left"/>
        <w:tblInd w:w="29" w:type="dxa"/>
        <w:tblLayout w:type="fixed"/>
        <w:tblCellMar>
          <w:top w:w="55" w:type="dxa"/>
          <w:left w:w="5" w:type="dxa"/>
          <w:bottom w:w="55" w:type="dxa"/>
          <w:right w:w="45" w:type="dxa"/>
        </w:tblCellMar>
      </w:tblPr>
      <w:tblGrid>
        <w:gridCol w:w="2217"/>
        <w:gridCol w:w="7249"/>
      </w:tblGrid>
      <w:tr>
        <w:trPr>
          <w:trHeight w:val="6431" w:hRule="atLeast"/>
        </w:trPr>
        <w:tc>
          <w:tcPr>
            <w:tcW w:w="2217" w:type="dxa"/>
            <w:tcBorders>
              <w:top w:val="single" w:sz="4" w:space="0" w:color="000001"/>
              <w:left w:val="single" w:sz="4" w:space="0" w:color="000001"/>
              <w:bottom w:val="single" w:sz="4" w:space="0" w:color="000001"/>
            </w:tcBorders>
            <w:shd w:fill="FFFFFF" w:val="clear"/>
          </w:tcPr>
          <w:p>
            <w:pPr>
              <w:pStyle w:val="Normal"/>
              <w:widowControl w:val="false"/>
              <w:suppressAutoHyphens w:val="false"/>
              <w:bidi w:val="0"/>
              <w:ind w:hanging="0" w:left="57" w:right="0"/>
              <w:jc w:val="both"/>
              <w:rPr>
                <w:color w:val="000000"/>
                <w:highlight w:val="white"/>
              </w:rPr>
            </w:pPr>
            <w:r>
              <w:rPr>
                <w:color w:val="000000"/>
                <w:highlight w:val="white"/>
              </w:rPr>
              <w:t>Объемы</w:t>
            </w:r>
          </w:p>
          <w:p>
            <w:pPr>
              <w:pStyle w:val="Normal"/>
              <w:widowControl w:val="false"/>
              <w:suppressAutoHyphens w:val="false"/>
              <w:bidi w:val="0"/>
              <w:ind w:hanging="0" w:left="57" w:right="0"/>
              <w:jc w:val="both"/>
              <w:rPr>
                <w:color w:val="000000"/>
                <w:highlight w:val="white"/>
              </w:rPr>
            </w:pPr>
            <w:r>
              <w:rPr>
                <w:color w:val="000000"/>
                <w:highlight w:val="white"/>
              </w:rPr>
              <w:t>финансирования муниципальной программы</w:t>
            </w:r>
          </w:p>
        </w:tc>
        <w:tc>
          <w:tcPr>
            <w:tcW w:w="7249"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tabs>
                <w:tab w:val="clear" w:pos="265"/>
                <w:tab w:val="left" w:pos="915" w:leader="none"/>
              </w:tabs>
              <w:suppressAutoHyphens w:val="false"/>
              <w:bidi w:val="0"/>
              <w:ind w:hanging="0" w:left="65" w:right="62"/>
              <w:jc w:val="both"/>
              <w:rPr>
                <w:color w:val="000000"/>
                <w:highlight w:val="white"/>
              </w:rPr>
            </w:pPr>
            <w:r>
              <w:rPr>
                <w:color w:val="000000"/>
                <w:highlight w:val="white"/>
              </w:rPr>
              <w:t>Общий объем финансирования муниципальной программы составит 8 067 264,00 рубля, в том числе за счет средств:</w:t>
            </w:r>
          </w:p>
          <w:p>
            <w:pPr>
              <w:pStyle w:val="Normal"/>
              <w:widowControl w:val="false"/>
              <w:tabs>
                <w:tab w:val="clear" w:pos="265"/>
                <w:tab w:val="left" w:pos="915" w:leader="none"/>
              </w:tabs>
              <w:suppressAutoHyphens w:val="false"/>
              <w:bidi w:val="0"/>
              <w:ind w:hanging="0" w:left="65" w:right="62"/>
              <w:jc w:val="both"/>
              <w:rPr/>
            </w:pPr>
            <w:r>
              <w:rPr>
                <w:color w:val="000000"/>
                <w:highlight w:val="white"/>
              </w:rPr>
              <w:t xml:space="preserve">бюджета муниципального округа «Вуктыл» Республики Коми </w:t>
            </w:r>
            <w:r>
              <w:rPr>
                <w:rFonts w:cs="Times New Roman"/>
                <w:b w:val="false"/>
                <w:i w:val="false"/>
                <w:strike w:val="false"/>
                <w:dstrike w:val="false"/>
                <w:color w:val="000000"/>
                <w:sz w:val="24"/>
                <w:szCs w:val="24"/>
                <w:highlight w:val="white"/>
                <w:u w:val="none"/>
                <w:lang w:eastAsia="en-US"/>
              </w:rPr>
              <w:t>(далее - муниципальный округ «Вуктыл», МО «Вуктыл», местный бюджет</w:t>
            </w:r>
            <w:r>
              <w:rPr>
                <w:color w:val="000000"/>
                <w:highlight w:val="white"/>
              </w:rPr>
              <w:t>) - 2 814 000,00 рубл</w:t>
            </w:r>
            <w:r>
              <w:rPr>
                <w:color w:val="000000"/>
                <w:highlight w:val="white"/>
                <w:lang w:val="ru-RU"/>
              </w:rPr>
              <w:t>ей</w:t>
            </w:r>
            <w:r>
              <w:rPr>
                <w:color w:val="000000"/>
                <w:highlight w:val="white"/>
              </w:rPr>
              <w:t>,</w:t>
            </w:r>
          </w:p>
          <w:p>
            <w:pPr>
              <w:pStyle w:val="Normal"/>
              <w:widowControl w:val="false"/>
              <w:tabs>
                <w:tab w:val="clear" w:pos="265"/>
                <w:tab w:val="left" w:pos="915" w:leader="none"/>
              </w:tabs>
              <w:suppressAutoHyphens w:val="false"/>
              <w:bidi w:val="0"/>
              <w:ind w:hanging="0" w:left="65" w:right="62"/>
              <w:jc w:val="both"/>
              <w:rPr/>
            </w:pPr>
            <w:r>
              <w:rPr>
                <w:color w:val="000000"/>
                <w:highlight w:val="white"/>
              </w:rPr>
              <w:t>республиканского бюджета Республики Коми (далее - РБ РК) - 5</w:t>
            </w:r>
            <w:r>
              <w:rPr>
                <w:color w:val="000000"/>
                <w:sz w:val="24"/>
                <w:szCs w:val="24"/>
                <w:highlight w:val="white"/>
                <w:lang w:val="ru-RU"/>
              </w:rPr>
              <w:t xml:space="preserve"> 253 264</w:t>
            </w:r>
            <w:r>
              <w:rPr>
                <w:color w:val="000000"/>
                <w:sz w:val="24"/>
                <w:szCs w:val="24"/>
                <w:highlight w:val="white"/>
                <w:lang w:val="en-US"/>
              </w:rPr>
              <w:t>,00</w:t>
            </w:r>
            <w:r>
              <w:rPr>
                <w:color w:val="000000"/>
                <w:highlight w:val="white"/>
              </w:rPr>
              <w:t xml:space="preserve"> рубл</w:t>
            </w:r>
            <w:r>
              <w:rPr>
                <w:color w:val="000000"/>
                <w:highlight w:val="white"/>
                <w:lang w:val="ru-RU"/>
              </w:rPr>
              <w:t>я</w:t>
            </w:r>
            <w:r>
              <w:rPr>
                <w:color w:val="000000"/>
                <w:highlight w:val="white"/>
              </w:rPr>
              <w:t>,</w:t>
            </w:r>
          </w:p>
          <w:p>
            <w:pPr>
              <w:pStyle w:val="Normal"/>
              <w:widowControl w:val="false"/>
              <w:tabs>
                <w:tab w:val="clear" w:pos="265"/>
                <w:tab w:val="left" w:pos="915" w:leader="none"/>
              </w:tabs>
              <w:suppressAutoHyphens w:val="false"/>
              <w:bidi w:val="0"/>
              <w:ind w:hanging="0" w:left="65" w:right="62"/>
              <w:jc w:val="both"/>
              <w:rPr/>
            </w:pPr>
            <w:r>
              <w:rPr>
                <w:color w:val="000000"/>
                <w:highlight w:val="white"/>
              </w:rPr>
              <w:t xml:space="preserve">федерального бюджета Российской Федерации (далее - ФБ РФ) – </w:t>
            </w:r>
            <w:r>
              <w:rPr>
                <w:color w:val="000000"/>
                <w:sz w:val="24"/>
                <w:szCs w:val="24"/>
                <w:highlight w:val="white"/>
                <w:lang w:val="ru-RU"/>
              </w:rPr>
              <w:t>0,00</w:t>
            </w:r>
            <w:r>
              <w:rPr>
                <w:color w:val="000000"/>
                <w:highlight w:val="white"/>
                <w:lang w:val="en-US"/>
              </w:rPr>
              <w:t xml:space="preserve"> </w:t>
            </w:r>
            <w:r>
              <w:rPr>
                <w:color w:val="000000"/>
                <w:highlight w:val="white"/>
                <w:lang w:val="ru-RU"/>
              </w:rPr>
              <w:t>р</w:t>
            </w:r>
            <w:r>
              <w:rPr>
                <w:color w:val="000000"/>
                <w:highlight w:val="white"/>
              </w:rPr>
              <w:t>ублей, в том числе:</w:t>
            </w:r>
          </w:p>
          <w:p>
            <w:pPr>
              <w:pStyle w:val="Normal"/>
              <w:widowControl w:val="false"/>
              <w:tabs>
                <w:tab w:val="clear" w:pos="265"/>
                <w:tab w:val="left" w:pos="915" w:leader="none"/>
              </w:tabs>
              <w:suppressAutoHyphens w:val="false"/>
              <w:bidi w:val="0"/>
              <w:ind w:hanging="0" w:left="65" w:right="62"/>
              <w:jc w:val="both"/>
              <w:rPr>
                <w:color w:val="000000"/>
                <w:highlight w:val="white"/>
              </w:rPr>
            </w:pPr>
            <w:r>
              <w:rPr>
                <w:color w:val="000000"/>
                <w:highlight w:val="white"/>
              </w:rPr>
              <w:t>по годам реализации:</w:t>
            </w:r>
          </w:p>
          <w:p>
            <w:pPr>
              <w:pStyle w:val="Normal"/>
              <w:widowControl w:val="false"/>
              <w:tabs>
                <w:tab w:val="clear" w:pos="265"/>
                <w:tab w:val="left" w:pos="915" w:leader="none"/>
              </w:tabs>
              <w:suppressAutoHyphens w:val="false"/>
              <w:bidi w:val="0"/>
              <w:ind w:hanging="0" w:left="65" w:right="62"/>
              <w:jc w:val="both"/>
              <w:rPr/>
            </w:pPr>
            <w:r>
              <w:rPr>
                <w:rFonts w:cs="Times New Roman"/>
                <w:color w:val="000000"/>
                <w:sz w:val="24"/>
                <w:szCs w:val="24"/>
                <w:highlight w:val="white"/>
              </w:rPr>
              <w:t>2024 г. –</w:t>
            </w:r>
            <w:r>
              <w:rPr>
                <w:rFonts w:cs="Times New Roman"/>
                <w:color w:val="000000"/>
                <w:sz w:val="24"/>
                <w:szCs w:val="24"/>
                <w:highlight w:val="white"/>
                <w:lang w:val="en-US"/>
              </w:rPr>
              <w:t xml:space="preserve"> 2 </w:t>
            </w:r>
            <w:r>
              <w:rPr>
                <w:rFonts w:cs="Times New Roman"/>
                <w:color w:val="000000"/>
                <w:sz w:val="24"/>
                <w:szCs w:val="24"/>
                <w:highlight w:val="white"/>
                <w:lang w:val="ru-RU"/>
              </w:rPr>
              <w:t>689</w:t>
            </w:r>
            <w:r>
              <w:rPr>
                <w:rFonts w:cs="Times New Roman"/>
                <w:color w:val="000000"/>
                <w:sz w:val="24"/>
                <w:szCs w:val="24"/>
                <w:highlight w:val="white"/>
              </w:rPr>
              <w:t xml:space="preserve"> </w:t>
            </w:r>
            <w:r>
              <w:rPr>
                <w:rFonts w:cs="Times New Roman"/>
                <w:color w:val="000000"/>
                <w:sz w:val="24"/>
                <w:szCs w:val="24"/>
                <w:highlight w:val="white"/>
                <w:lang w:val="ru-RU"/>
              </w:rPr>
              <w:t>088</w:t>
            </w:r>
            <w:r>
              <w:rPr>
                <w:rFonts w:cs="Times New Roman"/>
                <w:color w:val="000000"/>
                <w:sz w:val="24"/>
                <w:szCs w:val="24"/>
                <w:highlight w:val="white"/>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pPr>
            <w:r>
              <w:rPr>
                <w:rFonts w:cs="Times New Roman"/>
                <w:b w:val="false"/>
                <w:i w:val="false"/>
                <w:strike w:val="false"/>
                <w:dstrike w:val="false"/>
                <w:color w:val="000000"/>
                <w:sz w:val="24"/>
                <w:szCs w:val="24"/>
                <w:highlight w:val="white"/>
                <w:u w:val="none"/>
                <w:lang w:eastAsia="en-US"/>
              </w:rPr>
              <w:t>местного бюджета</w:t>
            </w:r>
            <w:r>
              <w:rPr>
                <w:rFonts w:cs="Times New Roman"/>
                <w:color w:val="000000"/>
                <w:sz w:val="24"/>
                <w:szCs w:val="24"/>
                <w:highlight w:val="white"/>
              </w:rPr>
              <w:t xml:space="preserve"> -</w:t>
            </w:r>
            <w:r>
              <w:rPr>
                <w:rFonts w:cs="Times New Roman"/>
                <w:color w:val="000000"/>
                <w:sz w:val="24"/>
                <w:szCs w:val="24"/>
                <w:highlight w:val="white"/>
                <w:lang w:val="en-US"/>
              </w:rPr>
              <w:t xml:space="preserve"> 938</w:t>
            </w:r>
            <w:r>
              <w:rPr>
                <w:rFonts w:cs="Times New Roman"/>
                <w:color w:val="000000"/>
                <w:sz w:val="24"/>
                <w:szCs w:val="24"/>
                <w:highlight w:val="white"/>
                <w:lang w:val="ru-RU"/>
              </w:rPr>
              <w:t xml:space="preserve"> 000</w:t>
            </w:r>
            <w:r>
              <w:rPr>
                <w:rFonts w:cs="Times New Roman"/>
                <w:color w:val="000000"/>
                <w:sz w:val="24"/>
                <w:szCs w:val="24"/>
                <w:highlight w:val="white"/>
              </w:rPr>
              <w:t>,00 рублей,</w:t>
            </w:r>
          </w:p>
          <w:p>
            <w:pPr>
              <w:pStyle w:val="Normal"/>
              <w:widowControl w:val="false"/>
              <w:tabs>
                <w:tab w:val="clear" w:pos="265"/>
                <w:tab w:val="left" w:pos="915" w:leader="none"/>
              </w:tabs>
              <w:suppressAutoHyphens w:val="false"/>
              <w:bidi w:val="0"/>
              <w:spacing w:before="0" w:after="0"/>
              <w:ind w:firstLine="709" w:left="0" w:right="57"/>
              <w:jc w:val="both"/>
              <w:rPr/>
            </w:pPr>
            <w:r>
              <w:rPr>
                <w:rFonts w:cs="Times New Roman"/>
                <w:color w:val="000000"/>
                <w:sz w:val="24"/>
                <w:szCs w:val="24"/>
                <w:highlight w:val="white"/>
              </w:rPr>
              <w:t xml:space="preserve">РК РБ – </w:t>
            </w:r>
            <w:r>
              <w:rPr>
                <w:rFonts w:cs="Times New Roman"/>
                <w:color w:val="000000"/>
                <w:sz w:val="24"/>
                <w:szCs w:val="24"/>
                <w:highlight w:val="white"/>
                <w:lang w:val="ru-RU"/>
              </w:rPr>
              <w:t>1 751 088</w:t>
            </w:r>
            <w:r>
              <w:rPr>
                <w:rFonts w:cs="Times New Roman"/>
                <w:color w:val="000000"/>
                <w:sz w:val="24"/>
                <w:szCs w:val="24"/>
                <w:highlight w:val="white"/>
              </w:rPr>
              <w:t>,00 рублей,</w:t>
            </w:r>
          </w:p>
          <w:p>
            <w:pPr>
              <w:pStyle w:val="Normal"/>
              <w:widowControl w:val="false"/>
              <w:tabs>
                <w:tab w:val="clear" w:pos="265"/>
                <w:tab w:val="left" w:pos="915" w:leader="none"/>
              </w:tabs>
              <w:suppressAutoHyphens w:val="false"/>
              <w:bidi w:val="0"/>
              <w:spacing w:before="0" w:after="0"/>
              <w:ind w:firstLine="709" w:left="0" w:right="57"/>
              <w:jc w:val="both"/>
              <w:rPr>
                <w:rFonts w:cs="Times New Roman"/>
                <w:color w:val="000000"/>
                <w:sz w:val="24"/>
                <w:szCs w:val="24"/>
                <w:highlight w:val="white"/>
              </w:rPr>
            </w:pPr>
            <w:r>
              <w:rPr>
                <w:rFonts w:cs="Times New Roman"/>
                <w:color w:val="000000"/>
                <w:sz w:val="24"/>
                <w:szCs w:val="24"/>
                <w:highlight w:val="white"/>
              </w:rPr>
              <w:t>ФБ РФ – 0,00 рублей;</w:t>
            </w:r>
          </w:p>
          <w:p>
            <w:pPr>
              <w:pStyle w:val="Normal"/>
              <w:widowControl w:val="false"/>
              <w:tabs>
                <w:tab w:val="clear" w:pos="265"/>
                <w:tab w:val="left" w:pos="915" w:leader="none"/>
              </w:tabs>
              <w:suppressAutoHyphens w:val="false"/>
              <w:bidi w:val="0"/>
              <w:ind w:hanging="0" w:left="65" w:right="62"/>
              <w:jc w:val="both"/>
              <w:rPr/>
            </w:pPr>
            <w:r>
              <w:rPr>
                <w:rFonts w:cs="Times New Roman"/>
                <w:color w:val="000000"/>
                <w:sz w:val="24"/>
                <w:szCs w:val="24"/>
                <w:highlight w:val="white"/>
              </w:rPr>
              <w:t xml:space="preserve">2025 г. – </w:t>
            </w:r>
            <w:r>
              <w:rPr>
                <w:rFonts w:cs="Times New Roman"/>
                <w:color w:val="000000"/>
                <w:sz w:val="24"/>
                <w:szCs w:val="24"/>
                <w:highlight w:val="white"/>
                <w:lang w:val="en-US"/>
              </w:rPr>
              <w:t>2 6</w:t>
            </w:r>
            <w:r>
              <w:rPr>
                <w:rFonts w:cs="Times New Roman"/>
                <w:color w:val="000000"/>
                <w:sz w:val="24"/>
                <w:szCs w:val="24"/>
                <w:highlight w:val="white"/>
                <w:lang w:val="ru-RU"/>
              </w:rPr>
              <w:t>89</w:t>
            </w:r>
            <w:r>
              <w:rPr>
                <w:rFonts w:cs="Times New Roman"/>
                <w:color w:val="000000"/>
                <w:sz w:val="24"/>
                <w:szCs w:val="24"/>
                <w:highlight w:val="white"/>
              </w:rPr>
              <w:t xml:space="preserve"> </w:t>
            </w:r>
            <w:r>
              <w:rPr>
                <w:rFonts w:cs="Times New Roman"/>
                <w:color w:val="000000"/>
                <w:sz w:val="24"/>
                <w:szCs w:val="24"/>
                <w:highlight w:val="white"/>
                <w:lang w:val="ru-RU"/>
              </w:rPr>
              <w:t>088</w:t>
            </w:r>
            <w:r>
              <w:rPr>
                <w:rFonts w:cs="Times New Roman"/>
                <w:color w:val="000000"/>
                <w:sz w:val="24"/>
                <w:szCs w:val="24"/>
                <w:highlight w:val="white"/>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pPr>
            <w:r>
              <w:rPr>
                <w:rFonts w:cs="Times New Roman"/>
                <w:b w:val="false"/>
                <w:i w:val="false"/>
                <w:strike w:val="false"/>
                <w:dstrike w:val="false"/>
                <w:color w:val="000000"/>
                <w:sz w:val="24"/>
                <w:szCs w:val="24"/>
                <w:highlight w:val="white"/>
                <w:u w:val="none"/>
                <w:lang w:eastAsia="en-US"/>
              </w:rPr>
              <w:t>местного бюджета</w:t>
            </w:r>
            <w:r>
              <w:rPr>
                <w:rFonts w:cs="Times New Roman"/>
                <w:color w:val="000000"/>
                <w:sz w:val="24"/>
                <w:szCs w:val="24"/>
                <w:highlight w:val="white"/>
              </w:rPr>
              <w:t xml:space="preserve"> -</w:t>
            </w:r>
            <w:r>
              <w:rPr>
                <w:rFonts w:cs="Times New Roman"/>
                <w:color w:val="000000"/>
                <w:sz w:val="24"/>
                <w:szCs w:val="24"/>
                <w:highlight w:val="white"/>
                <w:lang w:val="ru-RU"/>
              </w:rPr>
              <w:t xml:space="preserve"> 938 </w:t>
            </w:r>
            <w:r>
              <w:rPr>
                <w:rFonts w:cs="Times New Roman"/>
                <w:color w:val="000000"/>
                <w:sz w:val="24"/>
                <w:szCs w:val="24"/>
                <w:highlight w:val="white"/>
                <w:lang w:val="en-US"/>
              </w:rPr>
              <w:t>000</w:t>
            </w:r>
            <w:r>
              <w:rPr>
                <w:rFonts w:cs="Times New Roman"/>
                <w:color w:val="000000"/>
                <w:sz w:val="24"/>
                <w:szCs w:val="24"/>
                <w:highlight w:val="white"/>
              </w:rPr>
              <w:t>,00 рублей,</w:t>
            </w:r>
          </w:p>
          <w:p>
            <w:pPr>
              <w:pStyle w:val="Normal"/>
              <w:widowControl w:val="false"/>
              <w:tabs>
                <w:tab w:val="clear" w:pos="265"/>
                <w:tab w:val="left" w:pos="915" w:leader="none"/>
              </w:tabs>
              <w:suppressAutoHyphens w:val="false"/>
              <w:bidi w:val="0"/>
              <w:spacing w:before="0" w:after="0"/>
              <w:ind w:firstLine="709" w:left="0" w:right="57"/>
              <w:jc w:val="both"/>
              <w:rPr/>
            </w:pPr>
            <w:r>
              <w:rPr>
                <w:rFonts w:cs="Times New Roman"/>
                <w:color w:val="000000"/>
                <w:sz w:val="24"/>
                <w:szCs w:val="24"/>
                <w:highlight w:val="white"/>
              </w:rPr>
              <w:t xml:space="preserve">РК РБ – </w:t>
            </w:r>
            <w:r>
              <w:rPr>
                <w:rFonts w:cs="Times New Roman"/>
                <w:color w:val="000000"/>
                <w:sz w:val="24"/>
                <w:szCs w:val="24"/>
                <w:highlight w:val="white"/>
                <w:lang w:val="ru-RU"/>
              </w:rPr>
              <w:t>1 751 088</w:t>
            </w:r>
            <w:r>
              <w:rPr>
                <w:rFonts w:cs="Times New Roman"/>
                <w:color w:val="000000"/>
                <w:sz w:val="24"/>
                <w:szCs w:val="24"/>
                <w:highlight w:val="white"/>
              </w:rPr>
              <w:t>,00 рублей,</w:t>
            </w:r>
          </w:p>
          <w:p>
            <w:pPr>
              <w:pStyle w:val="Normal"/>
              <w:widowControl w:val="false"/>
              <w:tabs>
                <w:tab w:val="clear" w:pos="265"/>
                <w:tab w:val="left" w:pos="915" w:leader="none"/>
              </w:tabs>
              <w:suppressAutoHyphens w:val="false"/>
              <w:bidi w:val="0"/>
              <w:ind w:hanging="0" w:left="65" w:right="62"/>
              <w:jc w:val="both"/>
              <w:rPr>
                <w:rFonts w:cs="Times New Roman"/>
                <w:color w:val="000000"/>
                <w:sz w:val="24"/>
                <w:szCs w:val="24"/>
                <w:highlight w:val="white"/>
              </w:rPr>
            </w:pPr>
            <w:r>
              <w:rPr>
                <w:rFonts w:cs="Times New Roman"/>
                <w:color w:val="000000"/>
                <w:sz w:val="24"/>
                <w:szCs w:val="24"/>
                <w:highlight w:val="white"/>
              </w:rPr>
              <w:t xml:space="preserve">          </w:t>
            </w:r>
            <w:r>
              <w:rPr>
                <w:rFonts w:cs="Times New Roman"/>
                <w:color w:val="000000"/>
                <w:sz w:val="24"/>
                <w:szCs w:val="24"/>
                <w:highlight w:val="white"/>
              </w:rPr>
              <w:t>ФБ РФ – 0,00 рублей;</w:t>
            </w:r>
          </w:p>
          <w:p>
            <w:pPr>
              <w:pStyle w:val="Normal"/>
              <w:widowControl w:val="false"/>
              <w:tabs>
                <w:tab w:val="clear" w:pos="265"/>
                <w:tab w:val="left" w:pos="915" w:leader="none"/>
              </w:tabs>
              <w:suppressAutoHyphens w:val="false"/>
              <w:bidi w:val="0"/>
              <w:ind w:hanging="0" w:left="65" w:right="62"/>
              <w:jc w:val="both"/>
              <w:rPr/>
            </w:pPr>
            <w:r>
              <w:rPr>
                <w:rFonts w:cs="Times New Roman"/>
                <w:color w:val="000000"/>
                <w:sz w:val="24"/>
                <w:szCs w:val="24"/>
                <w:highlight w:val="white"/>
              </w:rPr>
              <w:t>2026 г. –</w:t>
            </w:r>
            <w:r>
              <w:rPr>
                <w:rFonts w:cs="Times New Roman"/>
                <w:color w:val="000000"/>
                <w:sz w:val="24"/>
                <w:szCs w:val="24"/>
                <w:highlight w:val="white"/>
                <w:lang w:val="ru-RU"/>
              </w:rPr>
              <w:t xml:space="preserve"> </w:t>
            </w:r>
            <w:r>
              <w:rPr>
                <w:rFonts w:cs="Times New Roman"/>
                <w:color w:val="000000"/>
                <w:sz w:val="24"/>
                <w:szCs w:val="24"/>
                <w:highlight w:val="white"/>
                <w:lang w:val="en-US"/>
              </w:rPr>
              <w:t>2</w:t>
            </w:r>
            <w:r>
              <w:rPr>
                <w:rFonts w:cs="Times New Roman"/>
                <w:color w:val="000000"/>
                <w:sz w:val="24"/>
                <w:szCs w:val="24"/>
                <w:highlight w:val="white"/>
                <w:lang w:val="ru-RU"/>
              </w:rPr>
              <w:t xml:space="preserve"> 689 088</w:t>
            </w:r>
            <w:r>
              <w:rPr>
                <w:rFonts w:cs="Times New Roman"/>
                <w:color w:val="000000"/>
                <w:sz w:val="24"/>
                <w:szCs w:val="24"/>
                <w:highlight w:val="white"/>
              </w:rPr>
              <w:t>,00 рублей, в том числе за счет средств:</w:t>
            </w:r>
          </w:p>
          <w:p>
            <w:pPr>
              <w:pStyle w:val="Normal"/>
              <w:widowControl w:val="false"/>
              <w:tabs>
                <w:tab w:val="clear" w:pos="265"/>
                <w:tab w:val="left" w:pos="915" w:leader="none"/>
              </w:tabs>
              <w:suppressAutoHyphens w:val="false"/>
              <w:bidi w:val="0"/>
              <w:spacing w:before="0" w:after="0"/>
              <w:ind w:firstLine="709" w:left="0" w:right="57"/>
              <w:jc w:val="both"/>
              <w:rPr/>
            </w:pPr>
            <w:r>
              <w:rPr>
                <w:rFonts w:cs="Times New Roman"/>
                <w:b w:val="false"/>
                <w:i w:val="false"/>
                <w:strike w:val="false"/>
                <w:dstrike w:val="false"/>
                <w:color w:val="000000"/>
                <w:sz w:val="24"/>
                <w:szCs w:val="24"/>
                <w:highlight w:val="white"/>
                <w:u w:val="none"/>
                <w:lang w:eastAsia="en-US"/>
              </w:rPr>
              <w:t>местного бюджета</w:t>
            </w:r>
            <w:r>
              <w:rPr>
                <w:rFonts w:cs="Times New Roman"/>
                <w:color w:val="000000"/>
                <w:sz w:val="24"/>
                <w:szCs w:val="24"/>
                <w:highlight w:val="white"/>
              </w:rPr>
              <w:t xml:space="preserve"> -</w:t>
            </w:r>
            <w:r>
              <w:rPr>
                <w:rFonts w:cs="Times New Roman"/>
                <w:color w:val="000000"/>
                <w:sz w:val="24"/>
                <w:szCs w:val="24"/>
                <w:highlight w:val="white"/>
                <w:lang w:val="ru-RU"/>
              </w:rPr>
              <w:t xml:space="preserve"> 938 </w:t>
            </w:r>
            <w:r>
              <w:rPr>
                <w:rFonts w:cs="Times New Roman"/>
                <w:color w:val="000000"/>
                <w:sz w:val="24"/>
                <w:szCs w:val="24"/>
                <w:highlight w:val="white"/>
                <w:lang w:val="en-US"/>
              </w:rPr>
              <w:t>000</w:t>
            </w:r>
            <w:r>
              <w:rPr>
                <w:rFonts w:cs="Times New Roman"/>
                <w:color w:val="000000"/>
                <w:sz w:val="24"/>
                <w:szCs w:val="24"/>
                <w:highlight w:val="white"/>
              </w:rPr>
              <w:t>,00 рублей,</w:t>
            </w:r>
          </w:p>
          <w:p>
            <w:pPr>
              <w:pStyle w:val="Normal"/>
              <w:widowControl w:val="false"/>
              <w:tabs>
                <w:tab w:val="clear" w:pos="265"/>
                <w:tab w:val="left" w:pos="915" w:leader="none"/>
              </w:tabs>
              <w:suppressAutoHyphens w:val="false"/>
              <w:bidi w:val="0"/>
              <w:spacing w:before="0" w:after="0"/>
              <w:ind w:firstLine="709" w:left="0" w:right="57"/>
              <w:jc w:val="both"/>
              <w:rPr/>
            </w:pPr>
            <w:r>
              <w:rPr>
                <w:rFonts w:cs="Times New Roman"/>
                <w:color w:val="000000"/>
                <w:sz w:val="24"/>
                <w:szCs w:val="24"/>
                <w:highlight w:val="white"/>
              </w:rPr>
              <w:t xml:space="preserve">РК РБ – </w:t>
            </w:r>
            <w:r>
              <w:rPr>
                <w:rFonts w:cs="Times New Roman"/>
                <w:color w:val="000000"/>
                <w:sz w:val="24"/>
                <w:szCs w:val="24"/>
                <w:highlight w:val="white"/>
                <w:lang w:val="ru-RU"/>
              </w:rPr>
              <w:t>1 751 088</w:t>
            </w:r>
            <w:r>
              <w:rPr>
                <w:rFonts w:cs="Times New Roman"/>
                <w:color w:val="000000"/>
                <w:sz w:val="24"/>
                <w:szCs w:val="24"/>
                <w:highlight w:val="white"/>
              </w:rPr>
              <w:t>,00 рублей,</w:t>
            </w:r>
          </w:p>
          <w:p>
            <w:pPr>
              <w:pStyle w:val="Normal"/>
              <w:widowControl w:val="false"/>
              <w:tabs>
                <w:tab w:val="clear" w:pos="265"/>
                <w:tab w:val="left" w:pos="915" w:leader="none"/>
              </w:tabs>
              <w:suppressAutoHyphens w:val="false"/>
              <w:bidi w:val="0"/>
              <w:ind w:hanging="0" w:left="65" w:right="62"/>
              <w:jc w:val="both"/>
              <w:rPr>
                <w:rFonts w:cs="Times New Roman"/>
                <w:color w:val="000000"/>
                <w:sz w:val="24"/>
                <w:szCs w:val="24"/>
                <w:highlight w:val="white"/>
              </w:rPr>
            </w:pPr>
            <w:r>
              <w:rPr>
                <w:rFonts w:cs="Times New Roman"/>
                <w:color w:val="000000"/>
                <w:sz w:val="24"/>
                <w:szCs w:val="24"/>
                <w:highlight w:val="white"/>
              </w:rPr>
              <w:t xml:space="preserve">           </w:t>
            </w:r>
            <w:r>
              <w:rPr>
                <w:rFonts w:cs="Times New Roman"/>
                <w:color w:val="000000"/>
                <w:sz w:val="24"/>
                <w:szCs w:val="24"/>
                <w:highlight w:val="white"/>
              </w:rPr>
              <w:t>ФБ РФ – 0,00 рублей</w:t>
            </w:r>
          </w:p>
        </w:tc>
      </w:tr>
    </w:tbl>
    <w:p>
      <w:pPr>
        <w:pStyle w:val="Normal"/>
        <w:ind w:firstLine="567" w:left="0" w:right="0"/>
        <w:jc w:val="right"/>
        <w:rPr/>
      </w:pPr>
      <w:r>
        <w:rPr/>
        <w:t>»;</w:t>
      </w:r>
    </w:p>
    <w:p>
      <w:pPr>
        <w:pStyle w:val="Normal"/>
        <w:ind w:firstLine="567" w:left="0" w:right="0"/>
        <w:jc w:val="both"/>
        <w:rPr/>
      </w:pPr>
      <w:r>
        <w:rPr/>
        <w:tab/>
        <w:t>2) строку «Объемы финансирования подпрограммы 3» таблицы № 2 изложить в следующей редакции:</w:t>
      </w:r>
    </w:p>
    <w:p>
      <w:pPr>
        <w:pStyle w:val="Normal"/>
        <w:widowControl w:val="false"/>
        <w:suppressAutoHyphens w:val="true"/>
        <w:jc w:val="left"/>
        <w:rPr/>
      </w:pPr>
      <w:r>
        <w:rPr/>
        <w:t>«</w:t>
      </w:r>
    </w:p>
    <w:tbl>
      <w:tblPr>
        <w:tblW w:w="9483" w:type="dxa"/>
        <w:jc w:val="left"/>
        <w:tblInd w:w="29" w:type="dxa"/>
        <w:tblLayout w:type="fixed"/>
        <w:tblCellMar>
          <w:top w:w="55" w:type="dxa"/>
          <w:left w:w="5" w:type="dxa"/>
          <w:bottom w:w="55" w:type="dxa"/>
          <w:right w:w="45" w:type="dxa"/>
        </w:tblCellMar>
      </w:tblPr>
      <w:tblGrid>
        <w:gridCol w:w="2164"/>
        <w:gridCol w:w="7318"/>
      </w:tblGrid>
      <w:tr>
        <w:trPr/>
        <w:tc>
          <w:tcPr>
            <w:tcW w:w="2164" w:type="dxa"/>
            <w:tcBorders>
              <w:top w:val="single" w:sz="4" w:space="0" w:color="000001"/>
              <w:left w:val="single" w:sz="4" w:space="0" w:color="000001"/>
              <w:bottom w:val="single" w:sz="4" w:space="0" w:color="000001"/>
            </w:tcBorders>
            <w:shd w:fill="FFFFFF" w:val="clear"/>
          </w:tcPr>
          <w:p>
            <w:pPr>
              <w:pStyle w:val="ConsPlusCell"/>
              <w:widowControl w:val="false"/>
              <w:suppressAutoHyphens w:val="true"/>
              <w:overflowPunct w:val="false"/>
              <w:bidi w:val="0"/>
              <w:spacing w:before="0" w:after="0"/>
              <w:ind w:hanging="0" w:left="57" w:right="0"/>
              <w:jc w:val="left"/>
              <w:rPr>
                <w:color w:val="000000"/>
                <w:sz w:val="24"/>
                <w:szCs w:val="24"/>
                <w:highlight w:val="white"/>
              </w:rPr>
            </w:pPr>
            <w:r>
              <w:rPr>
                <w:color w:val="000000"/>
                <w:sz w:val="24"/>
                <w:szCs w:val="24"/>
                <w:highlight w:val="white"/>
              </w:rPr>
              <w:t>Объемы финансирования</w:t>
            </w:r>
          </w:p>
          <w:p>
            <w:pPr>
              <w:pStyle w:val="ConsPlusCell"/>
              <w:widowControl w:val="false"/>
              <w:suppressAutoHyphens w:val="true"/>
              <w:overflowPunct w:val="false"/>
              <w:bidi w:val="0"/>
              <w:spacing w:before="0" w:after="0"/>
              <w:ind w:hanging="0" w:left="57" w:right="0"/>
              <w:jc w:val="left"/>
              <w:rPr/>
            </w:pPr>
            <w:r>
              <w:rPr>
                <w:color w:val="000000"/>
                <w:sz w:val="24"/>
                <w:szCs w:val="24"/>
                <w:highlight w:val="white"/>
              </w:rPr>
              <w:t xml:space="preserve">подпрограммы </w:t>
            </w:r>
            <w:r>
              <w:rPr>
                <w:color w:val="000000"/>
                <w:sz w:val="24"/>
                <w:szCs w:val="24"/>
                <w:highlight w:val="white"/>
                <w:lang w:val="en-US"/>
              </w:rPr>
              <w:t>3</w:t>
            </w:r>
          </w:p>
          <w:p>
            <w:pPr>
              <w:pStyle w:val="ConsPlusCell"/>
              <w:widowControl w:val="false"/>
              <w:suppressAutoHyphens w:val="true"/>
              <w:overflowPunct w:val="false"/>
              <w:bidi w:val="0"/>
              <w:spacing w:before="0" w:after="0"/>
              <w:ind w:hanging="0" w:left="57" w:right="0"/>
              <w:jc w:val="left"/>
              <w:rPr>
                <w:color w:val="00000A"/>
                <w:sz w:val="24"/>
                <w:szCs w:val="24"/>
                <w:highlight w:val="white"/>
              </w:rPr>
            </w:pPr>
            <w:r>
              <w:rPr>
                <w:color w:val="00000A"/>
                <w:sz w:val="24"/>
                <w:szCs w:val="24"/>
                <w:highlight w:val="white"/>
              </w:rPr>
            </w:r>
          </w:p>
        </w:tc>
        <w:tc>
          <w:tcPr>
            <w:tcW w:w="7318"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uppressAutoHyphens w:val="false"/>
              <w:overflowPunct w:val="false"/>
              <w:bidi w:val="0"/>
              <w:spacing w:before="0" w:after="0"/>
              <w:ind w:hanging="0" w:left="57" w:right="57"/>
              <w:jc w:val="both"/>
              <w:rPr>
                <w:color w:val="000000"/>
                <w:highlight w:val="white"/>
              </w:rPr>
            </w:pPr>
            <w:r>
              <w:rPr>
                <w:color w:val="000000"/>
                <w:highlight w:val="white"/>
              </w:rPr>
              <w:t>Общий объем финансирования подпрограммы 3 составит 1 230 000,00 рублей, в том числе за счет средств:</w:t>
            </w:r>
          </w:p>
          <w:p>
            <w:pPr>
              <w:pStyle w:val="Normal"/>
              <w:widowControl w:val="false"/>
              <w:suppressAutoHyphens w:val="false"/>
              <w:overflowPunct w:val="false"/>
              <w:bidi w:val="0"/>
              <w:spacing w:before="0" w:after="0"/>
              <w:ind w:hanging="0" w:left="57" w:right="57"/>
              <w:jc w:val="left"/>
              <w:rPr/>
            </w:pPr>
            <w:r>
              <w:rPr>
                <w:rFonts w:cs="Times New Roman"/>
                <w:b w:val="false"/>
                <w:i w:val="false"/>
                <w:strike w:val="false"/>
                <w:dstrike w:val="false"/>
                <w:color w:val="000000"/>
                <w:sz w:val="24"/>
                <w:szCs w:val="24"/>
                <w:highlight w:val="white"/>
                <w:u w:val="none"/>
                <w:lang w:eastAsia="en-US"/>
              </w:rPr>
              <w:t>местного бюджета</w:t>
            </w:r>
            <w:r>
              <w:rPr>
                <w:color w:val="000000"/>
                <w:highlight w:val="white"/>
              </w:rPr>
              <w:t xml:space="preserve"> - </w:t>
            </w:r>
            <w:bookmarkStart w:id="1" w:name="__DdeLink__107481_1826803166"/>
            <w:r>
              <w:rPr>
                <w:color w:val="000000"/>
                <w:highlight w:val="white"/>
              </w:rPr>
              <w:t>1 230 000,00</w:t>
            </w:r>
            <w:bookmarkEnd w:id="1"/>
            <w:r>
              <w:rPr>
                <w:color w:val="000000"/>
                <w:highlight w:val="white"/>
              </w:rPr>
              <w:t xml:space="preserve"> рублей,</w:t>
            </w:r>
          </w:p>
          <w:p>
            <w:pPr>
              <w:pStyle w:val="Normal"/>
              <w:widowControl w:val="false"/>
              <w:suppressAutoHyphens w:val="false"/>
              <w:overflowPunct w:val="false"/>
              <w:bidi w:val="0"/>
              <w:spacing w:before="0" w:after="0"/>
              <w:ind w:hanging="0" w:left="57" w:right="57"/>
              <w:jc w:val="left"/>
              <w:rPr>
                <w:color w:val="000000"/>
                <w:highlight w:val="white"/>
              </w:rPr>
            </w:pPr>
            <w:r>
              <w:rPr>
                <w:color w:val="000000"/>
                <w:highlight w:val="white"/>
              </w:rPr>
              <w:t>РБ РК - 0,00  рублей,</w:t>
            </w:r>
          </w:p>
          <w:p>
            <w:pPr>
              <w:pStyle w:val="Normal"/>
              <w:widowControl w:val="false"/>
              <w:suppressAutoHyphens w:val="false"/>
              <w:overflowPunct w:val="false"/>
              <w:bidi w:val="0"/>
              <w:spacing w:before="0" w:after="0"/>
              <w:ind w:hanging="0" w:left="57" w:right="57"/>
              <w:jc w:val="left"/>
              <w:rPr/>
            </w:pPr>
            <w:r>
              <w:rPr>
                <w:color w:val="000000"/>
                <w:highlight w:val="white"/>
                <w:lang w:eastAsia="en-US"/>
              </w:rPr>
              <w:t>ФБ РФ</w:t>
            </w:r>
            <w:r>
              <w:rPr>
                <w:color w:val="000000"/>
                <w:highlight w:val="white"/>
              </w:rPr>
              <w:t xml:space="preserve"> - 0,00 рублей в том числе:</w:t>
            </w:r>
          </w:p>
          <w:p>
            <w:pPr>
              <w:pStyle w:val="Normal"/>
              <w:widowControl w:val="false"/>
              <w:suppressAutoHyphens w:val="false"/>
              <w:overflowPunct w:val="false"/>
              <w:bidi w:val="0"/>
              <w:spacing w:before="0" w:after="0"/>
              <w:ind w:hanging="0" w:left="57" w:right="113"/>
              <w:jc w:val="both"/>
              <w:rPr>
                <w:color w:val="000000"/>
                <w:highlight w:val="white"/>
              </w:rPr>
            </w:pPr>
            <w:r>
              <w:rPr>
                <w:color w:val="000000"/>
                <w:highlight w:val="white"/>
              </w:rPr>
              <w:t>по годам реализации:</w:t>
            </w:r>
          </w:p>
          <w:p>
            <w:pPr>
              <w:pStyle w:val="Normal"/>
              <w:widowControl w:val="false"/>
              <w:ind w:hanging="0" w:left="66" w:right="73"/>
              <w:jc w:val="both"/>
              <w:rPr>
                <w:color w:val="000000"/>
                <w:highlight w:val="white"/>
              </w:rPr>
            </w:pPr>
            <w:r>
              <w:rPr>
                <w:color w:val="000000"/>
                <w:highlight w:val="white"/>
              </w:rPr>
              <w:t>2024 г. - 410 000,00 рублей, в том числе за счет средств:</w:t>
            </w:r>
          </w:p>
          <w:p>
            <w:pPr>
              <w:pStyle w:val="Normal"/>
              <w:widowControl w:val="false"/>
              <w:suppressAutoHyphens w:val="false"/>
              <w:overflowPunct w:val="false"/>
              <w:bidi w:val="0"/>
              <w:spacing w:before="0" w:after="0"/>
              <w:ind w:firstLine="709" w:left="68" w:right="74"/>
              <w:jc w:val="both"/>
              <w:rPr/>
            </w:pPr>
            <w:r>
              <w:rPr>
                <w:rFonts w:cs="Times New Roman"/>
                <w:b w:val="false"/>
                <w:i w:val="false"/>
                <w:strike w:val="false"/>
                <w:dstrike w:val="false"/>
                <w:color w:val="000000"/>
                <w:sz w:val="24"/>
                <w:szCs w:val="24"/>
                <w:highlight w:val="white"/>
                <w:u w:val="none"/>
                <w:lang w:eastAsia="en-US"/>
              </w:rPr>
              <w:t>местного бюджета</w:t>
            </w:r>
            <w:r>
              <w:rPr>
                <w:color w:val="000000"/>
                <w:highlight w:val="white"/>
              </w:rPr>
              <w:t xml:space="preserve"> — 410 000,00 рублей,</w:t>
            </w:r>
          </w:p>
          <w:p>
            <w:pPr>
              <w:pStyle w:val="Normal"/>
              <w:widowControl w:val="false"/>
              <w:suppressAutoHyphens w:val="false"/>
              <w:overflowPunct w:val="false"/>
              <w:bidi w:val="0"/>
              <w:spacing w:before="0" w:after="0"/>
              <w:ind w:firstLine="709" w:left="68" w:right="74"/>
              <w:jc w:val="both"/>
              <w:rPr>
                <w:color w:val="000000"/>
                <w:highlight w:val="white"/>
              </w:rPr>
            </w:pPr>
            <w:r>
              <w:rPr>
                <w:color w:val="000000"/>
                <w:highlight w:val="white"/>
              </w:rPr>
              <w:t>РБ РК - 0,00 рублей,</w:t>
            </w:r>
          </w:p>
          <w:p>
            <w:pPr>
              <w:pStyle w:val="Normal"/>
              <w:widowControl w:val="false"/>
              <w:suppressAutoHyphens w:val="false"/>
              <w:overflowPunct w:val="false"/>
              <w:bidi w:val="0"/>
              <w:spacing w:before="0" w:after="0"/>
              <w:ind w:firstLine="709" w:left="68" w:right="74"/>
              <w:jc w:val="both"/>
              <w:rPr/>
            </w:pPr>
            <w:r>
              <w:rPr>
                <w:color w:val="000000"/>
                <w:highlight w:val="white"/>
                <w:lang w:eastAsia="en-US"/>
              </w:rPr>
              <w:t>ФБ РФ</w:t>
            </w:r>
            <w:r>
              <w:rPr>
                <w:color w:val="000000"/>
                <w:highlight w:val="white"/>
              </w:rPr>
              <w:t xml:space="preserve"> - 0,00 рублей;</w:t>
            </w:r>
          </w:p>
          <w:p>
            <w:pPr>
              <w:pStyle w:val="Normal"/>
              <w:widowControl w:val="false"/>
              <w:ind w:hanging="0" w:left="66" w:right="73"/>
              <w:jc w:val="both"/>
              <w:rPr>
                <w:color w:val="000000"/>
                <w:highlight w:val="white"/>
              </w:rPr>
            </w:pPr>
            <w:r>
              <w:rPr>
                <w:color w:val="000000"/>
                <w:highlight w:val="white"/>
              </w:rPr>
              <w:t>2025 г. - 410 000,00 рублей, в том числе за счет средств:</w:t>
            </w:r>
          </w:p>
          <w:p>
            <w:pPr>
              <w:pStyle w:val="Normal"/>
              <w:widowControl w:val="false"/>
              <w:suppressAutoHyphens w:val="false"/>
              <w:overflowPunct w:val="false"/>
              <w:bidi w:val="0"/>
              <w:spacing w:before="0" w:after="0"/>
              <w:ind w:firstLine="709" w:left="68" w:right="74"/>
              <w:jc w:val="both"/>
              <w:rPr/>
            </w:pPr>
            <w:r>
              <w:rPr>
                <w:rFonts w:cs="Times New Roman"/>
                <w:b w:val="false"/>
                <w:i w:val="false"/>
                <w:strike w:val="false"/>
                <w:dstrike w:val="false"/>
                <w:color w:val="000000"/>
                <w:sz w:val="24"/>
                <w:szCs w:val="24"/>
                <w:highlight w:val="white"/>
                <w:u w:val="none"/>
                <w:lang w:eastAsia="en-US"/>
              </w:rPr>
              <w:t>местного бюджета</w:t>
            </w:r>
            <w:r>
              <w:rPr>
                <w:color w:val="000000"/>
                <w:highlight w:val="white"/>
              </w:rPr>
              <w:t xml:space="preserve"> - 410 000,00 рублей,</w:t>
            </w:r>
          </w:p>
          <w:p>
            <w:pPr>
              <w:pStyle w:val="Normal"/>
              <w:widowControl w:val="false"/>
              <w:suppressAutoHyphens w:val="false"/>
              <w:overflowPunct w:val="false"/>
              <w:bidi w:val="0"/>
              <w:spacing w:before="0" w:after="0"/>
              <w:ind w:firstLine="709" w:left="68" w:right="74"/>
              <w:jc w:val="both"/>
              <w:rPr>
                <w:color w:val="000000"/>
                <w:highlight w:val="white"/>
              </w:rPr>
            </w:pPr>
            <w:r>
              <w:rPr>
                <w:color w:val="000000"/>
                <w:highlight w:val="white"/>
              </w:rPr>
              <w:t>РБ РК - 0,00 рублей,</w:t>
            </w:r>
          </w:p>
          <w:p>
            <w:pPr>
              <w:pStyle w:val="Normal"/>
              <w:widowControl w:val="false"/>
              <w:suppressAutoHyphens w:val="false"/>
              <w:overflowPunct w:val="false"/>
              <w:bidi w:val="0"/>
              <w:spacing w:before="0" w:after="0"/>
              <w:ind w:firstLine="709" w:left="68" w:right="74"/>
              <w:jc w:val="both"/>
              <w:rPr/>
            </w:pPr>
            <w:r>
              <w:rPr>
                <w:color w:val="000000"/>
                <w:highlight w:val="white"/>
                <w:lang w:eastAsia="en-US"/>
              </w:rPr>
              <w:t>ФБ РФ</w:t>
            </w:r>
            <w:r>
              <w:rPr>
                <w:color w:val="000000"/>
                <w:highlight w:val="white"/>
              </w:rPr>
              <w:t xml:space="preserve"> - 0,00 рублей;</w:t>
            </w:r>
          </w:p>
          <w:p>
            <w:pPr>
              <w:pStyle w:val="Normal"/>
              <w:widowControl w:val="false"/>
              <w:ind w:hanging="0" w:left="66" w:right="73"/>
              <w:jc w:val="both"/>
              <w:rPr>
                <w:color w:val="000000"/>
                <w:sz w:val="24"/>
                <w:szCs w:val="24"/>
                <w:highlight w:val="white"/>
              </w:rPr>
            </w:pPr>
            <w:r>
              <w:rPr>
                <w:color w:val="000000"/>
                <w:sz w:val="24"/>
                <w:szCs w:val="24"/>
                <w:highlight w:val="white"/>
              </w:rPr>
              <w:t>2026 г. - 410 000,00 рублей, в том числе за счет средств:</w:t>
            </w:r>
          </w:p>
          <w:p>
            <w:pPr>
              <w:pStyle w:val="Normal"/>
              <w:widowControl w:val="false"/>
              <w:suppressAutoHyphens w:val="false"/>
              <w:overflowPunct w:val="false"/>
              <w:bidi w:val="0"/>
              <w:spacing w:before="0" w:after="0"/>
              <w:ind w:firstLine="709" w:left="68" w:right="74"/>
              <w:jc w:val="both"/>
              <w:rPr/>
            </w:pPr>
            <w:r>
              <w:rPr>
                <w:rFonts w:cs="Times New Roman"/>
                <w:b w:val="false"/>
                <w:i w:val="false"/>
                <w:strike w:val="false"/>
                <w:dstrike w:val="false"/>
                <w:color w:val="000000"/>
                <w:sz w:val="24"/>
                <w:szCs w:val="24"/>
                <w:highlight w:val="white"/>
                <w:u w:val="none"/>
                <w:lang w:eastAsia="en-US"/>
              </w:rPr>
              <w:t>местного бюджета</w:t>
            </w:r>
            <w:r>
              <w:rPr>
                <w:color w:val="000000"/>
                <w:sz w:val="24"/>
                <w:szCs w:val="24"/>
                <w:highlight w:val="white"/>
              </w:rPr>
              <w:t xml:space="preserve"> - 410 000,00 рублей,</w:t>
            </w:r>
          </w:p>
          <w:p>
            <w:pPr>
              <w:pStyle w:val="Normal"/>
              <w:widowControl w:val="false"/>
              <w:suppressAutoHyphens w:val="false"/>
              <w:overflowPunct w:val="false"/>
              <w:bidi w:val="0"/>
              <w:spacing w:before="0" w:after="0"/>
              <w:ind w:firstLine="709" w:left="68" w:right="74"/>
              <w:jc w:val="both"/>
              <w:rPr>
                <w:color w:val="000000"/>
                <w:sz w:val="24"/>
                <w:szCs w:val="24"/>
                <w:highlight w:val="white"/>
              </w:rPr>
            </w:pPr>
            <w:r>
              <w:rPr>
                <w:color w:val="000000"/>
                <w:sz w:val="24"/>
                <w:szCs w:val="24"/>
                <w:highlight w:val="white"/>
              </w:rPr>
              <w:t>РБ РК - 0,00 рублей,</w:t>
            </w:r>
          </w:p>
          <w:p>
            <w:pPr>
              <w:pStyle w:val="Normal"/>
              <w:widowControl w:val="false"/>
              <w:suppressAutoHyphens w:val="false"/>
              <w:overflowPunct w:val="false"/>
              <w:bidi w:val="0"/>
              <w:spacing w:before="0" w:after="0"/>
              <w:ind w:firstLine="709" w:left="68" w:right="74"/>
              <w:jc w:val="both"/>
              <w:rPr/>
            </w:pPr>
            <w:r>
              <w:rPr>
                <w:color w:val="000000"/>
                <w:sz w:val="24"/>
                <w:szCs w:val="24"/>
                <w:highlight w:val="white"/>
                <w:lang w:eastAsia="en-US"/>
              </w:rPr>
              <w:t>ФБ РФ</w:t>
            </w:r>
            <w:r>
              <w:rPr>
                <w:color w:val="000000"/>
                <w:sz w:val="24"/>
                <w:szCs w:val="24"/>
                <w:highlight w:val="white"/>
              </w:rPr>
              <w:t xml:space="preserve"> - 0,00 рублей</w:t>
            </w:r>
          </w:p>
        </w:tc>
      </w:tr>
    </w:tbl>
    <w:p>
      <w:pPr>
        <w:sectPr>
          <w:type w:val="nextPage"/>
          <w:pgSz w:w="11906" w:h="16838"/>
          <w:pgMar w:left="1559" w:right="851" w:gutter="0" w:header="0" w:top="850" w:footer="0" w:bottom="567"/>
          <w:pgNumType w:start="1" w:fmt="decimal"/>
          <w:formProt w:val="false"/>
          <w:textDirection w:val="lrTb"/>
          <w:docGrid w:type="default" w:linePitch="360" w:charSpace="0"/>
        </w:sectPr>
        <w:pStyle w:val="Normal"/>
        <w:widowControl w:val="false"/>
        <w:suppressAutoHyphens w:val="true"/>
        <w:jc w:val="right"/>
        <w:rPr>
          <w:b w:val="false"/>
          <w:bCs w:val="false"/>
        </w:rPr>
      </w:pPr>
      <w:r>
        <w:rPr>
          <w:b w:val="false"/>
          <w:bCs w:val="false"/>
          <w:color w:val="00000A"/>
          <w:sz w:val="24"/>
          <w:szCs w:val="24"/>
          <w:highlight w:val="white"/>
        </w:rPr>
        <w:t>»;</w:t>
      </w:r>
    </w:p>
    <w:p>
      <w:pPr>
        <w:pStyle w:val="Normal"/>
        <w:widowControl/>
        <w:shd w:val="clear" w:fill="FFFFFF"/>
        <w:tabs>
          <w:tab w:val="clear" w:pos="265"/>
          <w:tab w:val="left" w:pos="993" w:leader="none"/>
        </w:tabs>
        <w:suppressAutoHyphens w:val="false"/>
        <w:overflowPunct w:val="false"/>
        <w:bidi w:val="0"/>
        <w:spacing w:lineRule="auto" w:line="240" w:before="0" w:after="0"/>
        <w:ind w:hanging="0" w:left="709" w:right="0"/>
        <w:jc w:val="both"/>
        <w:rPr>
          <w:color w:val="auto"/>
          <w:sz w:val="24"/>
          <w:szCs w:val="24"/>
        </w:rPr>
      </w:pPr>
      <w:r>
        <w:rPr>
          <w:rFonts w:eastAsia="Calibri" w:cs="Times New Roman"/>
          <w:color w:val="auto"/>
          <w:sz w:val="24"/>
          <w:szCs w:val="24"/>
          <w:highlight w:val="white"/>
          <w:lang w:val="en-US" w:eastAsia="ru-RU"/>
        </w:rPr>
        <w:t xml:space="preserve">3) позицию </w:t>
      </w:r>
      <w:r>
        <w:rPr>
          <w:rFonts w:eastAsia="Calibri" w:cs="Times New Roman"/>
          <w:color w:val="auto"/>
          <w:sz w:val="24"/>
          <w:szCs w:val="24"/>
          <w:highlight w:val="white"/>
          <w:lang w:val="ru-RU" w:eastAsia="ru-RU"/>
        </w:rPr>
        <w:t>11</w:t>
      </w:r>
      <w:r>
        <w:rPr>
          <w:rFonts w:eastAsia="Calibri" w:cs="Times New Roman"/>
          <w:color w:val="auto"/>
          <w:sz w:val="24"/>
          <w:szCs w:val="24"/>
          <w:highlight w:val="white"/>
          <w:lang w:val="en-US" w:eastAsia="ru-RU"/>
        </w:rPr>
        <w:t xml:space="preserve"> таблицы № 4 изложить </w:t>
      </w:r>
      <w:r>
        <w:rPr>
          <w:rFonts w:eastAsia="Calibri" w:cs="Times New Roman"/>
          <w:color w:val="auto"/>
          <w:sz w:val="24"/>
          <w:szCs w:val="24"/>
          <w:highlight w:val="white"/>
          <w:lang w:val="ru-RU" w:eastAsia="ru-RU"/>
        </w:rPr>
        <w:t>в следующей редакции</w:t>
      </w:r>
      <w:r>
        <w:rPr>
          <w:rFonts w:eastAsia="Calibri" w:cs="Times New Roman"/>
          <w:color w:val="auto"/>
          <w:sz w:val="24"/>
          <w:szCs w:val="24"/>
          <w:highlight w:val="white"/>
          <w:lang w:val="en-US" w:eastAsia="ru-RU"/>
        </w:rPr>
        <w:t>:</w:t>
      </w:r>
    </w:p>
    <w:p>
      <w:pPr>
        <w:pStyle w:val="BodyText"/>
        <w:rPr/>
      </w:pPr>
      <w:bookmarkStart w:id="2" w:name="__DdeLink__42718_4028100400"/>
      <w:r>
        <w:rPr/>
        <w:t>«</w:t>
      </w:r>
      <w:bookmarkEnd w:id="2"/>
    </w:p>
    <w:tbl>
      <w:tblPr>
        <w:tblW w:w="15117" w:type="dxa"/>
        <w:jc w:val="left"/>
        <w:tblInd w:w="-35" w:type="dxa"/>
        <w:tblLayout w:type="fixed"/>
        <w:tblCellMar>
          <w:top w:w="55" w:type="dxa"/>
          <w:left w:w="15" w:type="dxa"/>
          <w:bottom w:w="55" w:type="dxa"/>
          <w:right w:w="55" w:type="dxa"/>
        </w:tblCellMar>
      </w:tblPr>
      <w:tblGrid>
        <w:gridCol w:w="517"/>
        <w:gridCol w:w="3614"/>
        <w:gridCol w:w="1255"/>
        <w:gridCol w:w="736"/>
        <w:gridCol w:w="745"/>
        <w:gridCol w:w="3849"/>
        <w:gridCol w:w="4400"/>
      </w:tblGrid>
      <w:tr>
        <w:trPr/>
        <w:tc>
          <w:tcPr>
            <w:tcW w:w="517" w:type="dxa"/>
            <w:tcBorders>
              <w:top w:val="single" w:sz="4" w:space="0" w:color="000001"/>
              <w:left w:val="single" w:sz="4" w:space="0" w:color="000001"/>
              <w:bottom w:val="single" w:sz="4" w:space="0" w:color="000001"/>
            </w:tcBorders>
            <w:shd w:fill="FFFFFF" w:val="clear"/>
          </w:tcPr>
          <w:p>
            <w:pPr>
              <w:pStyle w:val="Normal"/>
              <w:widowControl w:val="false"/>
              <w:suppressAutoHyphens w:val="true"/>
              <w:snapToGrid w:val="false"/>
              <w:jc w:val="center"/>
              <w:rPr>
                <w:rFonts w:ascii="Times New Roman" w:hAnsi="Times New Roman"/>
                <w:sz w:val="22"/>
                <w:szCs w:val="22"/>
              </w:rPr>
            </w:pPr>
            <w:r>
              <w:rPr>
                <w:rFonts w:cs="Times New Roman"/>
                <w:color w:val="000000"/>
                <w:sz w:val="22"/>
                <w:szCs w:val="22"/>
                <w:highlight w:val="white"/>
              </w:rPr>
              <w:t>11.</w:t>
            </w:r>
          </w:p>
          <w:p>
            <w:pPr>
              <w:pStyle w:val="Normal"/>
              <w:widowControl w:val="false"/>
              <w:suppressAutoHyphens w:val="true"/>
              <w:snapToGrid w:val="false"/>
              <w:jc w:val="center"/>
              <w:rPr>
                <w:rFonts w:ascii="Times New Roman" w:hAnsi="Times New Roman" w:cs="Times New Roman"/>
                <w:color w:val="00000A"/>
                <w:sz w:val="22"/>
                <w:szCs w:val="22"/>
                <w:highlight w:val="white"/>
              </w:rPr>
            </w:pPr>
            <w:r>
              <w:rPr>
                <w:rFonts w:cs="Times New Roman"/>
                <w:color w:val="00000A"/>
                <w:sz w:val="22"/>
                <w:szCs w:val="22"/>
                <w:highlight w:val="white"/>
              </w:rPr>
            </w:r>
          </w:p>
        </w:tc>
        <w:tc>
          <w:tcPr>
            <w:tcW w:w="3614" w:type="dxa"/>
            <w:tcBorders>
              <w:top w:val="single" w:sz="4" w:space="0" w:color="000001"/>
              <w:left w:val="single" w:sz="4" w:space="0" w:color="000001"/>
              <w:bottom w:val="single" w:sz="4" w:space="0" w:color="000001"/>
            </w:tcBorders>
            <w:shd w:fill="FFFFFF" w:val="clear"/>
          </w:tcPr>
          <w:p>
            <w:pPr>
              <w:pStyle w:val="ConsPlusNonformat"/>
              <w:widowControl w:val="false"/>
              <w:suppressAutoHyphens w:val="false"/>
              <w:bidi w:val="0"/>
              <w:ind w:hanging="0" w:left="0" w:right="110"/>
              <w:jc w:val="both"/>
              <w:rPr>
                <w:rFonts w:ascii="Times New Roman" w:hAnsi="Times New Roman"/>
                <w:sz w:val="22"/>
                <w:szCs w:val="22"/>
              </w:rPr>
            </w:pPr>
            <w:r>
              <w:rPr>
                <w:rFonts w:cs="Times New Roman" w:ascii="Times New Roman" w:hAnsi="Times New Roman"/>
                <w:color w:val="000000"/>
                <w:sz w:val="22"/>
                <w:szCs w:val="22"/>
                <w:highlight w:val="white"/>
              </w:rPr>
              <w:t>Основное мероприятие 2.1.</w:t>
            </w:r>
          </w:p>
          <w:p>
            <w:pPr>
              <w:pStyle w:val="ConsPlusNonformat"/>
              <w:widowControl w:val="false"/>
              <w:suppressAutoHyphens w:val="false"/>
              <w:bidi w:val="0"/>
              <w:ind w:hanging="0" w:left="0" w:right="110"/>
              <w:jc w:val="both"/>
              <w:rPr>
                <w:rFonts w:ascii="Times New Roman" w:hAnsi="Times New Roman"/>
                <w:sz w:val="22"/>
                <w:szCs w:val="22"/>
              </w:rPr>
            </w:pPr>
            <w:r>
              <w:rPr>
                <w:rFonts w:cs="Times New Roman" w:ascii="Times New Roman" w:hAnsi="Times New Roman"/>
                <w:color w:val="000000"/>
                <w:sz w:val="22"/>
                <w:szCs w:val="22"/>
                <w:highlight w:val="white"/>
              </w:rPr>
              <w:t>Предоставление помощи детям и семьям, оказавшихся в трудной жизненной ситуации</w:t>
            </w:r>
          </w:p>
        </w:tc>
        <w:tc>
          <w:tcPr>
            <w:tcW w:w="1255" w:type="dxa"/>
            <w:tcBorders>
              <w:top w:val="single" w:sz="4" w:space="0" w:color="000001"/>
              <w:left w:val="single" w:sz="4" w:space="0" w:color="000001"/>
              <w:bottom w:val="single" w:sz="4" w:space="0" w:color="000001"/>
            </w:tcBorders>
            <w:shd w:fill="FFFFFF" w:val="clear"/>
          </w:tcPr>
          <w:p>
            <w:pPr>
              <w:pStyle w:val="Normal"/>
              <w:widowControl w:val="false"/>
              <w:suppressAutoHyphens w:val="false"/>
              <w:bidi w:val="0"/>
              <w:ind w:hanging="0" w:left="0" w:right="190"/>
              <w:jc w:val="center"/>
              <w:rPr>
                <w:rFonts w:ascii="Times New Roman" w:hAnsi="Times New Roman"/>
                <w:sz w:val="22"/>
                <w:szCs w:val="22"/>
              </w:rPr>
            </w:pPr>
            <w:r>
              <w:rPr>
                <w:rFonts w:cs="Times New Roman"/>
                <w:color w:val="000000"/>
                <w:sz w:val="22"/>
                <w:szCs w:val="22"/>
                <w:highlight w:val="white"/>
                <w:lang w:eastAsia="en-US"/>
              </w:rPr>
              <w:t>ГБУ РК «ЦСЗН»</w:t>
            </w:r>
          </w:p>
          <w:p>
            <w:pPr>
              <w:pStyle w:val="Normal"/>
              <w:widowControl w:val="false"/>
              <w:suppressAutoHyphens w:val="false"/>
              <w:bidi w:val="0"/>
              <w:ind w:hanging="0" w:left="98" w:right="190"/>
              <w:jc w:val="both"/>
              <w:rPr>
                <w:rFonts w:ascii="Times New Roman" w:hAnsi="Times New Roman" w:cs="Times New Roman"/>
                <w:color w:val="00000A"/>
                <w:sz w:val="22"/>
                <w:szCs w:val="22"/>
                <w:highlight w:val="white"/>
                <w:lang w:eastAsia="en-US"/>
              </w:rPr>
            </w:pPr>
            <w:r>
              <w:rPr>
                <w:rFonts w:cs="Times New Roman"/>
                <w:color w:val="00000A"/>
                <w:sz w:val="22"/>
                <w:szCs w:val="22"/>
                <w:highlight w:val="white"/>
                <w:lang w:eastAsia="en-US"/>
              </w:rPr>
            </w:r>
          </w:p>
          <w:p>
            <w:pPr>
              <w:pStyle w:val="Normal"/>
              <w:widowControl w:val="false"/>
              <w:suppressAutoHyphens w:val="false"/>
              <w:bidi w:val="0"/>
              <w:snapToGrid w:val="false"/>
              <w:jc w:val="left"/>
              <w:rPr>
                <w:rFonts w:ascii="Times New Roman" w:hAnsi="Times New Roman" w:cs="Times New Roman"/>
                <w:color w:val="00000A"/>
                <w:sz w:val="22"/>
                <w:szCs w:val="22"/>
                <w:highlight w:val="white"/>
                <w:lang w:eastAsia="en-US"/>
              </w:rPr>
            </w:pPr>
            <w:r>
              <w:rPr>
                <w:rFonts w:cs="Times New Roman"/>
                <w:color w:val="00000A"/>
                <w:sz w:val="22"/>
                <w:szCs w:val="22"/>
                <w:highlight w:val="white"/>
                <w:lang w:eastAsia="en-US"/>
              </w:rPr>
            </w:r>
          </w:p>
        </w:tc>
        <w:tc>
          <w:tcPr>
            <w:tcW w:w="736" w:type="dxa"/>
            <w:tcBorders>
              <w:top w:val="single" w:sz="4" w:space="0" w:color="000001"/>
              <w:left w:val="single" w:sz="4" w:space="0" w:color="000001"/>
              <w:bottom w:val="single" w:sz="4" w:space="0" w:color="000001"/>
            </w:tcBorders>
            <w:shd w:fill="FFFFFF" w:val="clear"/>
          </w:tcPr>
          <w:p>
            <w:pPr>
              <w:pStyle w:val="Normal"/>
              <w:widowControl w:val="false"/>
              <w:suppressAutoHyphens w:val="false"/>
              <w:bidi w:val="0"/>
              <w:jc w:val="center"/>
              <w:rPr>
                <w:rFonts w:ascii="Times New Roman" w:hAnsi="Times New Roman"/>
                <w:sz w:val="22"/>
                <w:szCs w:val="22"/>
              </w:rPr>
            </w:pPr>
            <w:r>
              <w:rPr>
                <w:rFonts w:cs="Times New Roman"/>
                <w:color w:val="000000"/>
                <w:sz w:val="22"/>
                <w:szCs w:val="22"/>
                <w:highlight w:val="white"/>
              </w:rPr>
              <w:t>2024 год</w:t>
            </w:r>
          </w:p>
        </w:tc>
        <w:tc>
          <w:tcPr>
            <w:tcW w:w="745" w:type="dxa"/>
            <w:tcBorders>
              <w:top w:val="single" w:sz="4" w:space="0" w:color="000001"/>
              <w:left w:val="single" w:sz="4" w:space="0" w:color="000001"/>
              <w:bottom w:val="single" w:sz="4" w:space="0" w:color="000001"/>
            </w:tcBorders>
            <w:shd w:fill="FFFFFF" w:val="clear"/>
          </w:tcPr>
          <w:p>
            <w:pPr>
              <w:pStyle w:val="Normal"/>
              <w:widowControl w:val="false"/>
              <w:suppressAutoHyphens w:val="false"/>
              <w:bidi w:val="0"/>
              <w:jc w:val="center"/>
              <w:rPr>
                <w:rFonts w:ascii="Times New Roman" w:hAnsi="Times New Roman"/>
                <w:sz w:val="22"/>
                <w:szCs w:val="22"/>
              </w:rPr>
            </w:pPr>
            <w:r>
              <w:rPr>
                <w:rFonts w:cs="Times New Roman"/>
                <w:color w:val="000000"/>
                <w:sz w:val="22"/>
                <w:szCs w:val="22"/>
                <w:highlight w:val="white"/>
              </w:rPr>
              <w:t>2030 год</w:t>
            </w:r>
          </w:p>
        </w:tc>
        <w:tc>
          <w:tcPr>
            <w:tcW w:w="3849" w:type="dxa"/>
            <w:tcBorders>
              <w:top w:val="single" w:sz="4" w:space="0" w:color="000001"/>
              <w:left w:val="single" w:sz="4" w:space="0" w:color="000001"/>
              <w:bottom w:val="single" w:sz="4" w:space="0" w:color="000001"/>
            </w:tcBorders>
            <w:shd w:fill="FFFFFF" w:val="clear"/>
          </w:tcPr>
          <w:p>
            <w:pPr>
              <w:pStyle w:val="ConsPlusNonformat"/>
              <w:widowControl w:val="false"/>
              <w:suppressAutoHyphens w:val="false"/>
              <w:bidi w:val="0"/>
              <w:snapToGrid w:val="false"/>
              <w:ind w:hanging="0" w:left="0" w:right="110"/>
              <w:jc w:val="both"/>
              <w:rPr>
                <w:rFonts w:ascii="Times New Roman" w:hAnsi="Times New Roman"/>
                <w:sz w:val="22"/>
                <w:szCs w:val="22"/>
              </w:rPr>
            </w:pPr>
            <w:r>
              <w:rPr>
                <w:rFonts w:cs="Times New Roman" w:ascii="Times New Roman" w:hAnsi="Times New Roman"/>
                <w:color w:val="auto"/>
                <w:sz w:val="22"/>
                <w:szCs w:val="22"/>
                <w:highlight w:val="white"/>
              </w:rPr>
              <w:t>Проведение мероприятий по предоставлению бесплатного питания детям оказавшихся в трудной жизненной ситуации</w:t>
            </w:r>
          </w:p>
        </w:tc>
        <w:tc>
          <w:tcPr>
            <w:tcW w:w="440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uppressAutoHyphens w:val="false"/>
              <w:bidi w:val="0"/>
              <w:snapToGrid w:val="false"/>
              <w:ind w:hanging="0" w:left="0" w:right="169"/>
              <w:jc w:val="both"/>
              <w:rPr>
                <w:rFonts w:ascii="Times New Roman" w:hAnsi="Times New Roman"/>
                <w:sz w:val="22"/>
                <w:szCs w:val="22"/>
              </w:rPr>
            </w:pPr>
            <w:r>
              <w:rPr>
                <w:rFonts w:eastAsia="Calibri" w:cs="Times New Roman"/>
                <w:color w:val="auto"/>
                <w:sz w:val="22"/>
                <w:szCs w:val="22"/>
                <w:highlight w:val="white"/>
              </w:rPr>
              <w:t>ИМ численность детей, оказавшихся в трудной жизненной ситуации и получивших питание</w:t>
            </w:r>
          </w:p>
        </w:tc>
      </w:tr>
    </w:tbl>
    <w:p>
      <w:pPr>
        <w:pStyle w:val="Normal"/>
        <w:suppressAutoHyphens w:val="true"/>
        <w:ind w:hanging="0" w:left="0" w:right="0"/>
        <w:jc w:val="right"/>
        <w:rPr>
          <w:rFonts w:cs="Times New Roman"/>
          <w:color w:val="00000A"/>
          <w:sz w:val="24"/>
          <w:szCs w:val="24"/>
          <w:highlight w:val="white"/>
        </w:rPr>
      </w:pPr>
      <w:r>
        <w:rPr>
          <w:rFonts w:cs="Times New Roman"/>
          <w:color w:val="00000A"/>
          <w:sz w:val="24"/>
          <w:szCs w:val="24"/>
          <w:highlight w:val="white"/>
        </w:rPr>
        <w:t>»;</w:t>
      </w:r>
    </w:p>
    <w:p>
      <w:pPr>
        <w:pStyle w:val="Normal"/>
        <w:widowControl/>
        <w:suppressAutoHyphens w:val="true"/>
        <w:overflowPunct w:val="false"/>
        <w:bidi w:val="0"/>
        <w:spacing w:before="0" w:after="0"/>
        <w:ind w:hanging="0" w:left="680" w:right="0"/>
        <w:jc w:val="both"/>
        <w:rPr>
          <w:color w:val="000000"/>
          <w:highlight w:val="white"/>
        </w:rPr>
      </w:pPr>
      <w:r>
        <w:rPr>
          <w:color w:val="000000"/>
          <w:highlight w:val="white"/>
        </w:rPr>
        <w:t xml:space="preserve">4) </w:t>
      </w:r>
      <w:r>
        <w:rPr>
          <w:rFonts w:eastAsia="Calibri" w:cs="Times New Roman"/>
          <w:color w:val="auto"/>
          <w:sz w:val="24"/>
          <w:szCs w:val="24"/>
          <w:highlight w:val="white"/>
          <w:lang w:val="en-US" w:eastAsia="ru-RU"/>
        </w:rPr>
        <w:t xml:space="preserve"> </w:t>
      </w:r>
      <w:r>
        <w:rPr>
          <w:rFonts w:eastAsia="Calibri" w:cs="Times New Roman"/>
          <w:color w:val="auto"/>
          <w:sz w:val="24"/>
          <w:szCs w:val="24"/>
          <w:highlight w:val="white"/>
          <w:lang w:val="ru-RU" w:eastAsia="ru-RU"/>
        </w:rPr>
        <w:t xml:space="preserve">в </w:t>
      </w:r>
      <w:r>
        <w:rPr>
          <w:rFonts w:eastAsia="Calibri" w:cs="Times New Roman"/>
          <w:color w:val="auto"/>
          <w:sz w:val="24"/>
          <w:szCs w:val="24"/>
          <w:highlight w:val="white"/>
          <w:lang w:val="en-US" w:eastAsia="ru-RU"/>
        </w:rPr>
        <w:t>таблиц</w:t>
      </w:r>
      <w:r>
        <w:rPr>
          <w:rFonts w:eastAsia="Calibri" w:cs="Times New Roman"/>
          <w:color w:val="auto"/>
          <w:sz w:val="24"/>
          <w:szCs w:val="24"/>
          <w:highlight w:val="white"/>
          <w:lang w:val="ru-RU" w:eastAsia="ru-RU"/>
        </w:rPr>
        <w:t>е</w:t>
      </w:r>
      <w:r>
        <w:rPr>
          <w:rFonts w:eastAsia="Calibri" w:cs="Times New Roman"/>
          <w:color w:val="auto"/>
          <w:sz w:val="24"/>
          <w:szCs w:val="24"/>
          <w:highlight w:val="white"/>
          <w:lang w:val="en-US" w:eastAsia="ru-RU"/>
        </w:rPr>
        <w:t xml:space="preserve"> № 6:</w:t>
      </w:r>
    </w:p>
    <w:p>
      <w:pPr>
        <w:pStyle w:val="Normal"/>
        <w:widowControl/>
        <w:suppressAutoHyphens w:val="true"/>
        <w:overflowPunct w:val="false"/>
        <w:bidi w:val="0"/>
        <w:spacing w:before="0" w:after="0"/>
        <w:ind w:hanging="0" w:left="680" w:right="0"/>
        <w:jc w:val="both"/>
        <w:rPr>
          <w:color w:val="000000"/>
          <w:highlight w:val="white"/>
          <w:lang w:val="ru-RU"/>
        </w:rPr>
      </w:pPr>
      <w:r>
        <w:rPr>
          <w:rFonts w:eastAsia="Calibri" w:cs="Times New Roman"/>
          <w:color w:val="auto"/>
          <w:sz w:val="24"/>
          <w:szCs w:val="24"/>
          <w:highlight w:val="white"/>
          <w:lang w:val="ru-RU" w:eastAsia="ru-RU"/>
        </w:rPr>
        <w:t xml:space="preserve">а) </w:t>
      </w:r>
      <w:r>
        <w:rPr>
          <w:rFonts w:eastAsia="Calibri" w:cs="Times New Roman"/>
          <w:color w:val="auto"/>
          <w:sz w:val="24"/>
          <w:szCs w:val="24"/>
          <w:highlight w:val="white"/>
          <w:lang w:val="en-US" w:eastAsia="ru-RU"/>
        </w:rPr>
        <w:t>позици</w:t>
      </w:r>
      <w:r>
        <w:rPr>
          <w:rFonts w:eastAsia="Calibri" w:cs="Times New Roman"/>
          <w:color w:val="auto"/>
          <w:sz w:val="24"/>
          <w:szCs w:val="24"/>
          <w:highlight w:val="white"/>
          <w:lang w:val="ru-RU" w:eastAsia="ru-RU"/>
        </w:rPr>
        <w:t>ю</w:t>
      </w:r>
      <w:r>
        <w:rPr>
          <w:rFonts w:eastAsia="Calibri" w:cs="Times New Roman"/>
          <w:color w:val="auto"/>
          <w:sz w:val="24"/>
          <w:szCs w:val="24"/>
          <w:highlight w:val="white"/>
          <w:lang w:val="en-US" w:eastAsia="ru-RU"/>
        </w:rPr>
        <w:t xml:space="preserve"> </w:t>
      </w:r>
      <w:r>
        <w:rPr>
          <w:rFonts w:eastAsia="Calibri" w:cs="Times New Roman"/>
          <w:color w:val="auto"/>
          <w:sz w:val="24"/>
          <w:szCs w:val="24"/>
          <w:highlight w:val="white"/>
          <w:lang w:val="ru-RU" w:eastAsia="ru-RU"/>
        </w:rPr>
        <w:t>1</w:t>
      </w:r>
      <w:r>
        <w:rPr>
          <w:rFonts w:eastAsia="Calibri" w:cs="Times New Roman"/>
          <w:color w:val="auto"/>
          <w:sz w:val="24"/>
          <w:szCs w:val="24"/>
          <w:highlight w:val="white"/>
          <w:lang w:val="en-US" w:eastAsia="ru-RU"/>
        </w:rPr>
        <w:t xml:space="preserve"> изложить </w:t>
      </w:r>
      <w:r>
        <w:rPr>
          <w:rFonts w:eastAsia="Calibri" w:cs="Times New Roman"/>
          <w:color w:val="auto"/>
          <w:sz w:val="24"/>
          <w:szCs w:val="24"/>
          <w:highlight w:val="white"/>
          <w:lang w:val="ru-RU" w:eastAsia="ru-RU"/>
        </w:rPr>
        <w:t>в следующей редакции</w:t>
      </w:r>
      <w:r>
        <w:rPr>
          <w:rFonts w:eastAsia="Calibri" w:cs="Times New Roman"/>
          <w:color w:val="auto"/>
          <w:sz w:val="24"/>
          <w:szCs w:val="24"/>
          <w:highlight w:val="white"/>
          <w:lang w:val="en-US" w:eastAsia="ru-RU"/>
        </w:rPr>
        <w:t>:</w:t>
      </w:r>
    </w:p>
    <w:p>
      <w:pPr>
        <w:pStyle w:val="BodyText"/>
        <w:rPr/>
      </w:pPr>
      <w:r>
        <w:rPr/>
        <w:t>«</w:t>
      </w:r>
    </w:p>
    <w:tbl>
      <w:tblPr>
        <w:tblW w:w="5000" w:type="pct"/>
        <w:jc w:val="left"/>
        <w:tblInd w:w="55" w:type="dxa"/>
        <w:tblLayout w:type="fixed"/>
        <w:tblCellMar>
          <w:top w:w="55" w:type="dxa"/>
          <w:left w:w="55" w:type="dxa"/>
          <w:bottom w:w="55" w:type="dxa"/>
          <w:right w:w="55" w:type="dxa"/>
        </w:tblCellMar>
      </w:tblPr>
      <w:tblGrid>
        <w:gridCol w:w="617"/>
        <w:gridCol w:w="1883"/>
        <w:gridCol w:w="2599"/>
        <w:gridCol w:w="2469"/>
        <w:gridCol w:w="1892"/>
        <w:gridCol w:w="1892"/>
        <w:gridCol w:w="1895"/>
        <w:gridCol w:w="1888"/>
      </w:tblGrid>
      <w:tr>
        <w:trPr/>
        <w:tc>
          <w:tcPr>
            <w:tcW w:w="617" w:type="dxa"/>
            <w:vMerge w:val="restart"/>
            <w:tcBorders>
              <w:top w:val="single" w:sz="4" w:space="0" w:color="000000"/>
              <w:left w:val="single" w:sz="4" w:space="0" w:color="000000"/>
              <w:bottom w:val="single" w:sz="4" w:space="0" w:color="000000"/>
            </w:tcBorders>
          </w:tcPr>
          <w:p>
            <w:pPr>
              <w:pStyle w:val="ConsPlusCell"/>
              <w:widowControl w:val="false"/>
              <w:ind w:hanging="0" w:left="0" w:right="-74"/>
              <w:jc w:val="center"/>
              <w:rPr>
                <w:rFonts w:ascii="Times New Roman" w:hAnsi="Times New Roman" w:cs="Times New Roman"/>
                <w:b/>
                <w:bCs/>
                <w:color w:val="00000A"/>
                <w:sz w:val="22"/>
                <w:szCs w:val="22"/>
                <w:highlight w:val="white"/>
              </w:rPr>
            </w:pPr>
            <w:r>
              <w:rPr>
                <w:rFonts w:cs="Times New Roman"/>
                <w:b/>
                <w:bCs/>
                <w:color w:val="00000A"/>
                <w:sz w:val="22"/>
                <w:szCs w:val="22"/>
                <w:highlight w:val="white"/>
              </w:rPr>
              <w:t>1.</w:t>
            </w:r>
          </w:p>
        </w:tc>
        <w:tc>
          <w:tcPr>
            <w:tcW w:w="1883"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rFonts w:ascii="Times New Roman" w:hAnsi="Times New Roman"/>
                <w:sz w:val="22"/>
                <w:szCs w:val="22"/>
              </w:rPr>
            </w:pPr>
            <w:r>
              <w:rPr>
                <w:rFonts w:cs="Times New Roman"/>
                <w:b/>
                <w:bCs/>
                <w:color w:val="000000"/>
                <w:sz w:val="22"/>
                <w:szCs w:val="22"/>
                <w:highlight w:val="white"/>
              </w:rPr>
              <w:t>Муниципальная</w:t>
              <w:br/>
              <w:t>программа</w:t>
            </w:r>
          </w:p>
          <w:p>
            <w:pPr>
              <w:pStyle w:val="ConsPlusCell"/>
              <w:widowControl w:val="false"/>
              <w:suppressAutoHyphens w:val="false"/>
              <w:bidi w:val="0"/>
              <w:jc w:val="both"/>
              <w:rPr>
                <w:rFonts w:ascii="Times New Roman" w:hAnsi="Times New Roman" w:cs="Times New Roman"/>
                <w:b/>
                <w:bCs/>
                <w:color w:val="00000A"/>
                <w:sz w:val="22"/>
                <w:szCs w:val="22"/>
                <w:highlight w:val="white"/>
              </w:rPr>
            </w:pPr>
            <w:r>
              <w:rPr>
                <w:rFonts w:cs="Times New Roman"/>
                <w:b/>
                <w:bCs/>
                <w:color w:val="00000A"/>
                <w:sz w:val="22"/>
                <w:szCs w:val="22"/>
                <w:highlight w:val="white"/>
              </w:rPr>
            </w:r>
          </w:p>
        </w:tc>
        <w:tc>
          <w:tcPr>
            <w:tcW w:w="2599"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rFonts w:ascii="Times New Roman" w:hAnsi="Times New Roman"/>
                <w:sz w:val="22"/>
                <w:szCs w:val="22"/>
              </w:rPr>
            </w:pPr>
            <w:r>
              <w:rPr>
                <w:rFonts w:cs="Times New Roman"/>
                <w:b/>
                <w:bCs/>
                <w:color w:val="000000"/>
                <w:sz w:val="22"/>
                <w:szCs w:val="22"/>
                <w:highlight w:val="white"/>
              </w:rPr>
              <w:t>«Социальная защита</w:t>
            </w:r>
          </w:p>
          <w:p>
            <w:pPr>
              <w:pStyle w:val="ConsPlusCell"/>
              <w:widowControl w:val="false"/>
              <w:suppressAutoHyphens w:val="false"/>
              <w:bidi w:val="0"/>
              <w:jc w:val="both"/>
              <w:rPr>
                <w:rFonts w:ascii="Times New Roman" w:hAnsi="Times New Roman"/>
                <w:sz w:val="22"/>
                <w:szCs w:val="22"/>
              </w:rPr>
            </w:pPr>
            <w:r>
              <w:rPr>
                <w:rFonts w:cs="Times New Roman"/>
                <w:b/>
                <w:bCs/>
                <w:color w:val="000000"/>
                <w:sz w:val="22"/>
                <w:szCs w:val="22"/>
                <w:highlight w:val="white"/>
              </w:rPr>
              <w:t>населения»</w:t>
            </w:r>
          </w:p>
          <w:p>
            <w:pPr>
              <w:pStyle w:val="ConsPlusCell"/>
              <w:widowControl w:val="false"/>
              <w:suppressAutoHyphens w:val="false"/>
              <w:bidi w:val="0"/>
              <w:jc w:val="both"/>
              <w:rPr>
                <w:rFonts w:ascii="Times New Roman" w:hAnsi="Times New Roman" w:cs="Times New Roman"/>
                <w:b/>
                <w:bCs/>
                <w:color w:val="00000A"/>
                <w:sz w:val="22"/>
                <w:szCs w:val="22"/>
                <w:highlight w:val="white"/>
              </w:rPr>
            </w:pPr>
            <w:r>
              <w:rPr>
                <w:rFonts w:cs="Times New Roman"/>
                <w:b/>
                <w:bCs/>
                <w:color w:val="00000A"/>
                <w:sz w:val="22"/>
                <w:szCs w:val="22"/>
                <w:highlight w:val="white"/>
              </w:rPr>
            </w:r>
          </w:p>
        </w:tc>
        <w:tc>
          <w:tcPr>
            <w:tcW w:w="2469" w:type="dxa"/>
            <w:tcBorders>
              <w:top w:val="single" w:sz="4" w:space="0" w:color="000000"/>
              <w:left w:val="single" w:sz="4" w:space="0" w:color="000000"/>
              <w:bottom w:val="single" w:sz="4" w:space="0" w:color="000000"/>
            </w:tcBorders>
          </w:tcPr>
          <w:p>
            <w:pPr>
              <w:pStyle w:val="ConsPlusCell"/>
              <w:widowControl w:val="false"/>
              <w:suppressAutoHyphens w:val="true"/>
              <w:overflowPunct w:val="false"/>
              <w:bidi w:val="0"/>
              <w:spacing w:lineRule="auto" w:line="240" w:before="57" w:after="57"/>
              <w:ind w:hanging="0" w:left="57" w:right="0"/>
              <w:jc w:val="left"/>
              <w:rPr>
                <w:rFonts w:ascii="Times New Roman" w:hAnsi="Times New Roman"/>
                <w:sz w:val="22"/>
                <w:szCs w:val="22"/>
              </w:rPr>
            </w:pPr>
            <w:r>
              <w:rPr>
                <w:rFonts w:cs="Times New Roman"/>
                <w:b/>
                <w:bCs/>
                <w:color w:val="000000"/>
                <w:sz w:val="22"/>
                <w:szCs w:val="22"/>
                <w:highlight w:val="white"/>
              </w:rPr>
              <w:t>Всего</w:t>
            </w:r>
          </w:p>
        </w:tc>
        <w:tc>
          <w:tcPr>
            <w:tcW w:w="1892" w:type="dxa"/>
            <w:tcBorders>
              <w:top w:val="single" w:sz="4" w:space="0" w:color="000000"/>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8067264,00</w:t>
            </w:r>
          </w:p>
        </w:tc>
        <w:tc>
          <w:tcPr>
            <w:tcW w:w="1892" w:type="dxa"/>
            <w:tcBorders>
              <w:top w:val="single" w:sz="4" w:space="0" w:color="000000"/>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2689088,00</w:t>
            </w:r>
          </w:p>
        </w:tc>
        <w:tc>
          <w:tcPr>
            <w:tcW w:w="1895" w:type="dxa"/>
            <w:tcBorders>
              <w:top w:val="single" w:sz="4" w:space="0" w:color="000000"/>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2689088,00</w:t>
            </w:r>
          </w:p>
        </w:tc>
        <w:tc>
          <w:tcPr>
            <w:tcW w:w="1888" w:type="dxa"/>
            <w:tcBorders>
              <w:top w:val="single" w:sz="4" w:space="0" w:color="000000"/>
              <w:left w:val="single" w:sz="4" w:space="0" w:color="000000"/>
              <w:bottom w:val="single" w:sz="4" w:space="0" w:color="000000"/>
              <w:right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2689088,00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true"/>
              <w:overflowPunct w:val="false"/>
              <w:bidi w:val="0"/>
              <w:spacing w:lineRule="auto" w:line="240" w:before="57" w:after="57"/>
              <w:ind w:hanging="0" w:left="57" w:right="0"/>
              <w:jc w:val="left"/>
              <w:rPr>
                <w:rFonts w:ascii="Times New Roman" w:hAnsi="Times New Roman"/>
                <w:sz w:val="22"/>
                <w:szCs w:val="22"/>
              </w:rPr>
            </w:pPr>
            <w:r>
              <w:rPr>
                <w:rFonts w:cs="Times New Roman"/>
                <w:color w:val="000000"/>
                <w:sz w:val="22"/>
                <w:szCs w:val="22"/>
                <w:highlight w:val="white"/>
              </w:rPr>
              <w:t>Ответственный исполнитель –   СРиЗ</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auto"/>
                <w:sz w:val="22"/>
                <w:szCs w:val="22"/>
                <w:highlight w:val="white"/>
              </w:rPr>
              <w:t>Соисполнители:</w:t>
            </w:r>
          </w:p>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auto"/>
                <w:sz w:val="22"/>
                <w:szCs w:val="22"/>
                <w:highlight w:val="white"/>
              </w:rPr>
              <w:t>ОСП</w:t>
            </w:r>
          </w:p>
        </w:tc>
        <w:tc>
          <w:tcPr>
            <w:tcW w:w="1892" w:type="dxa"/>
            <w:tcBorders>
              <w:left w:val="single" w:sz="4" w:space="0" w:color="000000"/>
              <w:bottom w:val="single" w:sz="4" w:space="0" w:color="000000"/>
            </w:tcBorders>
          </w:tcPr>
          <w:p>
            <w:pPr>
              <w:pStyle w:val="ConsPlusCell"/>
              <w:widowControl w:val="false"/>
              <w:snapToGrid w:val="false"/>
              <w:spacing w:lineRule="auto" w:line="240" w:before="228" w:after="228"/>
              <w:jc w:val="center"/>
              <w:rPr>
                <w:rFonts w:ascii="Times New Roman" w:hAnsi="Times New Roman"/>
                <w:sz w:val="22"/>
                <w:szCs w:val="22"/>
              </w:rPr>
            </w:pPr>
            <w:r>
              <w:rPr>
                <w:rFonts w:cs="Times New Roman"/>
                <w:color w:val="auto"/>
                <w:sz w:val="22"/>
                <w:szCs w:val="22"/>
                <w:highlight w:val="white"/>
                <w:lang w:val="ru-RU"/>
              </w:rPr>
              <w:t>5253264,00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228" w:after="228"/>
              <w:jc w:val="center"/>
              <w:rPr>
                <w:rFonts w:ascii="Times New Roman" w:hAnsi="Times New Roman"/>
                <w:sz w:val="22"/>
                <w:szCs w:val="22"/>
              </w:rPr>
            </w:pPr>
            <w:r>
              <w:rPr>
                <w:rFonts w:cs="Times New Roman"/>
                <w:color w:val="auto"/>
                <w:sz w:val="22"/>
                <w:szCs w:val="22"/>
                <w:highlight w:val="white"/>
                <w:lang w:val="ru-RU"/>
              </w:rPr>
              <w:t>1751088</w:t>
            </w:r>
            <w:r>
              <w:rPr>
                <w:rFonts w:cs="Times New Roman"/>
                <w:color w:val="auto"/>
                <w:sz w:val="22"/>
                <w:szCs w:val="22"/>
                <w:highlight w:val="white"/>
                <w:lang w:val="en-US"/>
              </w:rPr>
              <w:t>,00</w:t>
            </w:r>
          </w:p>
        </w:tc>
        <w:tc>
          <w:tcPr>
            <w:tcW w:w="1895" w:type="dxa"/>
            <w:tcBorders>
              <w:left w:val="single" w:sz="4" w:space="0" w:color="000000"/>
              <w:bottom w:val="single" w:sz="4" w:space="0" w:color="000000"/>
            </w:tcBorders>
          </w:tcPr>
          <w:p>
            <w:pPr>
              <w:pStyle w:val="ConsPlusCell"/>
              <w:widowControl w:val="false"/>
              <w:snapToGrid w:val="false"/>
              <w:spacing w:lineRule="auto" w:line="240" w:before="228" w:after="228"/>
              <w:jc w:val="center"/>
              <w:rPr>
                <w:rFonts w:ascii="Times New Roman" w:hAnsi="Times New Roman"/>
                <w:sz w:val="22"/>
                <w:szCs w:val="22"/>
              </w:rPr>
            </w:pPr>
            <w:r>
              <w:rPr>
                <w:rFonts w:cs="Times New Roman"/>
                <w:color w:val="auto"/>
                <w:sz w:val="22"/>
                <w:szCs w:val="22"/>
                <w:highlight w:val="white"/>
                <w:lang w:val="ru-RU"/>
              </w:rPr>
              <w:t>1751088</w:t>
            </w:r>
            <w:r>
              <w:rPr>
                <w:rFonts w:cs="Times New Roman"/>
                <w:color w:val="auto"/>
                <w:sz w:val="22"/>
                <w:szCs w:val="22"/>
                <w:highlight w:val="white"/>
                <w:lang w:val="en-US"/>
              </w:rPr>
              <w:t>,00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228" w:after="228"/>
              <w:jc w:val="center"/>
              <w:rPr>
                <w:rFonts w:ascii="Times New Roman" w:hAnsi="Times New Roman"/>
                <w:sz w:val="22"/>
                <w:szCs w:val="22"/>
              </w:rPr>
            </w:pPr>
            <w:r>
              <w:rPr>
                <w:rFonts w:cs="Times New Roman"/>
                <w:color w:val="auto"/>
                <w:sz w:val="22"/>
                <w:szCs w:val="22"/>
                <w:highlight w:val="white"/>
                <w:lang w:val="ru-RU"/>
              </w:rPr>
              <w:t>1711088,00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УО</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A"/>
                <w:sz w:val="22"/>
                <w:szCs w:val="22"/>
                <w:highlight w:val="white"/>
              </w:rPr>
              <w:t>0,00</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b w:val="false"/>
                <w:bCs w:val="false"/>
                <w:color w:val="00000A"/>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57" w:after="57"/>
              <w:jc w:val="center"/>
              <w:rPr>
                <w:rFonts w:ascii="Times New Roman" w:hAnsi="Times New Roman"/>
                <w:sz w:val="22"/>
                <w:szCs w:val="22"/>
              </w:rPr>
            </w:pPr>
            <w:r>
              <w:rPr>
                <w:rFonts w:cs="Times New Roman"/>
                <w:color w:val="00000A"/>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A"/>
                <w:sz w:val="22"/>
                <w:szCs w:val="22"/>
              </w:rPr>
              <w:t>ОКиТО</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A"/>
                <w:sz w:val="22"/>
                <w:szCs w:val="22"/>
                <w:highlight w:val="white"/>
              </w:rPr>
              <w:t>1230000,00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410000,00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A"/>
                <w:sz w:val="22"/>
                <w:szCs w:val="22"/>
                <w:highlight w:val="white"/>
              </w:rPr>
              <w:t>410000,00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A"/>
                <w:sz w:val="22"/>
                <w:szCs w:val="22"/>
                <w:highlight w:val="white"/>
              </w:rPr>
              <w:t>410000,00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lang w:eastAsia="en-US"/>
              </w:rPr>
              <w:t>ОРТ</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ОКТиНП</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Norma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ОГиДХ</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uppressAutoHyphens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ЖКХиМК</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4"/>
                <w:szCs w:val="24"/>
              </w:rPr>
            </w:pPr>
            <w:r>
              <w:rPr>
                <w:sz w:val="24"/>
                <w:szCs w:val="24"/>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4"/>
                <w:szCs w:val="24"/>
              </w:rPr>
            </w:pPr>
            <w:r>
              <w:rPr>
                <w:sz w:val="24"/>
                <w:szCs w:val="24"/>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4"/>
                <w:szCs w:val="24"/>
              </w:rPr>
            </w:pPr>
            <w:r>
              <w:rPr>
                <w:sz w:val="24"/>
                <w:szCs w:val="24"/>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ОЭ</w:t>
            </w:r>
          </w:p>
        </w:tc>
        <w:tc>
          <w:tcPr>
            <w:tcW w:w="1892" w:type="dxa"/>
            <w:tcBorders>
              <w:left w:val="single" w:sz="4" w:space="0" w:color="000000"/>
              <w:bottom w:val="single" w:sz="4" w:space="0" w:color="000000"/>
            </w:tcBorders>
          </w:tcPr>
          <w:p>
            <w:pPr>
              <w:pStyle w:val="Normal"/>
              <w:widowControl w:val="false"/>
              <w:suppressAutoHyphens w:val="true"/>
              <w:spacing w:lineRule="auto" w:line="240" w:before="57" w:after="57"/>
              <w:ind w:hanging="0" w:left="-75" w:right="-75"/>
              <w:jc w:val="center"/>
              <w:rPr>
                <w:rFonts w:ascii="Times New Roman" w:hAnsi="Times New Roman"/>
                <w:sz w:val="22"/>
                <w:szCs w:val="22"/>
              </w:rPr>
            </w:pPr>
            <w:r>
              <w:rPr>
                <w:rFonts w:cs="Times New Roman"/>
                <w:b w:val="false"/>
                <w:bCs w:val="false"/>
                <w:color w:val="000000"/>
                <w:sz w:val="22"/>
                <w:szCs w:val="22"/>
                <w:highlight w:val="white"/>
                <w:lang w:val="en-US"/>
              </w:rPr>
              <w:t>450000,00</w:t>
            </w:r>
          </w:p>
        </w:tc>
        <w:tc>
          <w:tcPr>
            <w:tcW w:w="1892" w:type="dxa"/>
            <w:tcBorders>
              <w:left w:val="single" w:sz="4" w:space="0" w:color="000000"/>
              <w:bottom w:val="single" w:sz="4" w:space="0" w:color="000000"/>
            </w:tcBorders>
          </w:tcPr>
          <w:p>
            <w:pPr>
              <w:pStyle w:val="Normal"/>
              <w:widowControl w:val="false"/>
              <w:suppressAutoHyphens w:val="true"/>
              <w:spacing w:lineRule="auto" w:line="240" w:before="57" w:after="57"/>
              <w:ind w:hanging="0" w:left="-75" w:right="-75"/>
              <w:jc w:val="center"/>
              <w:rPr>
                <w:rFonts w:ascii="Times New Roman" w:hAnsi="Times New Roman"/>
                <w:sz w:val="22"/>
                <w:szCs w:val="22"/>
              </w:rPr>
            </w:pPr>
            <w:r>
              <w:rPr>
                <w:rFonts w:cs="Times New Roman"/>
                <w:b w:val="false"/>
                <w:bCs w:val="false"/>
                <w:color w:val="000000"/>
                <w:sz w:val="22"/>
                <w:szCs w:val="22"/>
                <w:highlight w:val="white"/>
                <w:lang w:val="en-US"/>
              </w:rPr>
              <w:t>150000,00</w:t>
            </w:r>
          </w:p>
        </w:tc>
        <w:tc>
          <w:tcPr>
            <w:tcW w:w="1895" w:type="dxa"/>
            <w:tcBorders>
              <w:left w:val="single" w:sz="4" w:space="0" w:color="000000"/>
              <w:bottom w:val="single" w:sz="4" w:space="0" w:color="000000"/>
            </w:tcBorders>
          </w:tcPr>
          <w:p>
            <w:pPr>
              <w:pStyle w:val="Norma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b w:val="false"/>
                <w:bCs w:val="false"/>
                <w:color w:val="000000"/>
                <w:sz w:val="22"/>
                <w:szCs w:val="22"/>
                <w:highlight w:val="white"/>
              </w:rPr>
              <w:t>150000,00</w:t>
            </w:r>
          </w:p>
        </w:tc>
        <w:tc>
          <w:tcPr>
            <w:tcW w:w="1888" w:type="dxa"/>
            <w:tcBorders>
              <w:left w:val="single" w:sz="4" w:space="0" w:color="000000"/>
              <w:bottom w:val="single" w:sz="4" w:space="0" w:color="000000"/>
              <w:right w:val="single" w:sz="4" w:space="0" w:color="000000"/>
            </w:tcBorders>
          </w:tcPr>
          <w:p>
            <w:pPr>
              <w:pStyle w:val="Norma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b w:val="false"/>
                <w:bCs w:val="false"/>
                <w:color w:val="000000"/>
                <w:sz w:val="22"/>
                <w:szCs w:val="22"/>
                <w:highlight w:val="white"/>
              </w:rPr>
              <w:t>150000,00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4"/>
                <w:szCs w:val="24"/>
              </w:rPr>
            </w:pPr>
            <w:r>
              <w:rPr>
                <w:sz w:val="24"/>
                <w:szCs w:val="24"/>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4"/>
                <w:szCs w:val="24"/>
              </w:rPr>
            </w:pPr>
            <w:r>
              <w:rPr>
                <w:sz w:val="24"/>
                <w:szCs w:val="24"/>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4"/>
                <w:szCs w:val="24"/>
              </w:rPr>
            </w:pPr>
            <w:r>
              <w:rPr>
                <w:sz w:val="24"/>
                <w:szCs w:val="24"/>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color w:val="000000"/>
                <w:sz w:val="22"/>
                <w:szCs w:val="22"/>
                <w:highlight w:val="white"/>
              </w:rPr>
              <w:t>Участники:</w:t>
            </w:r>
          </w:p>
          <w:p>
            <w:pPr>
              <w:pStyle w:val="Normal"/>
              <w:widowControl w:val="false"/>
              <w:suppressAutoHyphens w:val="true"/>
              <w:overflowPunct w:val="false"/>
              <w:bidi w:val="0"/>
              <w:spacing w:lineRule="auto" w:line="240" w:before="57" w:after="57"/>
              <w:ind w:hanging="0" w:left="57" w:right="0"/>
              <w:jc w:val="left"/>
              <w:rPr>
                <w:rFonts w:ascii="Times New Roman" w:hAnsi="Times New Roman"/>
                <w:sz w:val="22"/>
                <w:szCs w:val="22"/>
              </w:rPr>
            </w:pPr>
            <w:r>
              <w:rPr>
                <w:rFonts w:cs="Times New Roman"/>
                <w:color w:val="000000"/>
                <w:sz w:val="22"/>
                <w:szCs w:val="22"/>
                <w:highlight w:val="white"/>
                <w:lang w:eastAsia="en-US"/>
              </w:rPr>
              <w:t>ГБУ РК «ЦСЗН»</w:t>
            </w:r>
          </w:p>
        </w:tc>
        <w:tc>
          <w:tcPr>
            <w:tcW w:w="1892" w:type="dxa"/>
            <w:tcBorders>
              <w:left w:val="single" w:sz="4" w:space="0" w:color="000000"/>
              <w:bottom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1134000,00</w:t>
            </w:r>
          </w:p>
        </w:tc>
        <w:tc>
          <w:tcPr>
            <w:tcW w:w="1892" w:type="dxa"/>
            <w:tcBorders>
              <w:left w:val="single" w:sz="4" w:space="0" w:color="000000"/>
              <w:bottom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378000,00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378000,00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378000,00</w:t>
            </w:r>
          </w:p>
        </w:tc>
      </w:tr>
      <w:tr>
        <w:trPr/>
        <w:tc>
          <w:tcPr>
            <w:tcW w:w="617" w:type="dxa"/>
            <w:vMerge w:val="continue"/>
            <w:tcBorders>
              <w:top w:val="single" w:sz="4" w:space="0" w:color="000000"/>
              <w:left w:val="single" w:sz="4" w:space="0" w:color="000000"/>
              <w:bottom w:val="single" w:sz="4" w:space="0" w:color="000000"/>
            </w:tcBorders>
          </w:tcPr>
          <w:p>
            <w:pPr>
              <w:pStyle w:val="Normal"/>
              <w:rPr/>
            </w:pPr>
            <w:r>
              <w:rPr/>
            </w:r>
          </w:p>
        </w:tc>
        <w:tc>
          <w:tcPr>
            <w:tcW w:w="1883" w:type="dxa"/>
            <w:vMerge w:val="continue"/>
            <w:tcBorders>
              <w:top w:val="single" w:sz="4" w:space="0" w:color="000000"/>
              <w:left w:val="single" w:sz="4" w:space="0" w:color="000000"/>
              <w:bottom w:val="single" w:sz="4" w:space="0" w:color="000000"/>
            </w:tcBorders>
          </w:tcPr>
          <w:p>
            <w:pPr>
              <w:pStyle w:val="Normal"/>
              <w:rPr/>
            </w:pPr>
            <w:r>
              <w:rPr/>
            </w:r>
          </w:p>
        </w:tc>
        <w:tc>
          <w:tcPr>
            <w:tcW w:w="2599" w:type="dxa"/>
            <w:vMerge w:val="continue"/>
            <w:tcBorders>
              <w:top w:val="single" w:sz="4" w:space="0" w:color="000000"/>
              <w:left w:val="single" w:sz="4" w:space="0" w:color="000000"/>
              <w:bottom w:val="single" w:sz="4" w:space="0" w:color="000000"/>
            </w:tcBorders>
          </w:tcPr>
          <w:p>
            <w:pPr>
              <w:pStyle w:val="Normal"/>
              <w:rPr/>
            </w:pPr>
            <w:r>
              <w:rPr/>
            </w:r>
          </w:p>
        </w:tc>
        <w:tc>
          <w:tcPr>
            <w:tcW w:w="2469"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ГУ РК «ЦЗН»</w:t>
            </w:r>
          </w:p>
        </w:tc>
        <w:tc>
          <w:tcPr>
            <w:tcW w:w="1892" w:type="dxa"/>
            <w:tcBorders>
              <w:left w:val="single" w:sz="4" w:space="0" w:color="000000"/>
              <w:bottom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uppressAutoHyphens w:val="false"/>
              <w:bidi w:val="0"/>
              <w:spacing w:lineRule="auto" w:line="240" w:before="57" w:after="57"/>
              <w:ind w:hanging="0" w:left="-75" w:right="-75"/>
              <w:jc w:val="center"/>
              <w:rPr>
                <w:rFonts w:ascii="Times New Roman" w:hAnsi="Times New Roman"/>
                <w:sz w:val="22"/>
                <w:szCs w:val="22"/>
              </w:rPr>
            </w:pPr>
            <w:r>
              <w:rPr>
                <w:rFonts w:cs="Times New Roman"/>
                <w:color w:val="000000"/>
                <w:sz w:val="22"/>
                <w:szCs w:val="22"/>
                <w:highlight w:val="white"/>
              </w:rPr>
              <w:t>0,00</w:t>
            </w:r>
          </w:p>
        </w:tc>
      </w:tr>
    </w:tbl>
    <w:p>
      <w:pPr>
        <w:pStyle w:val="BodyText"/>
        <w:jc w:val="right"/>
        <w:rPr/>
      </w:pPr>
      <w:r>
        <w:rPr/>
        <w:t>»;</w:t>
      </w:r>
    </w:p>
    <w:p>
      <w:pPr>
        <w:pStyle w:val="BodyText"/>
        <w:widowControl/>
        <w:suppressAutoHyphens w:val="false"/>
        <w:overflowPunct w:val="false"/>
        <w:bidi w:val="0"/>
        <w:spacing w:before="0" w:after="0"/>
        <w:ind w:hanging="0" w:left="709" w:right="0"/>
        <w:jc w:val="both"/>
        <w:rPr/>
      </w:pPr>
      <w:r>
        <w:rPr>
          <w:sz w:val="24"/>
          <w:szCs w:val="24"/>
        </w:rPr>
        <w:t>б) позицию 14 изложить в следующей редакции:</w:t>
      </w:r>
    </w:p>
    <w:p>
      <w:pPr>
        <w:pStyle w:val="BodyText"/>
        <w:jc w:val="both"/>
        <w:rPr>
          <w:rFonts w:ascii="Times New Roman" w:hAnsi="Times New Roman"/>
          <w:sz w:val="24"/>
          <w:szCs w:val="24"/>
        </w:rPr>
      </w:pPr>
      <w:r>
        <w:rPr>
          <w:sz w:val="24"/>
          <w:szCs w:val="24"/>
        </w:rPr>
        <w:t>«</w:t>
      </w:r>
    </w:p>
    <w:tbl>
      <w:tblPr>
        <w:tblW w:w="5000" w:type="pct"/>
        <w:jc w:val="left"/>
        <w:tblInd w:w="55" w:type="dxa"/>
        <w:tblLayout w:type="fixed"/>
        <w:tblCellMar>
          <w:top w:w="55" w:type="dxa"/>
          <w:left w:w="55" w:type="dxa"/>
          <w:bottom w:w="55" w:type="dxa"/>
          <w:right w:w="55" w:type="dxa"/>
        </w:tblCellMar>
      </w:tblPr>
      <w:tblGrid>
        <w:gridCol w:w="617"/>
        <w:gridCol w:w="1883"/>
        <w:gridCol w:w="2599"/>
        <w:gridCol w:w="2469"/>
        <w:gridCol w:w="1892"/>
        <w:gridCol w:w="1892"/>
        <w:gridCol w:w="1895"/>
        <w:gridCol w:w="1888"/>
      </w:tblGrid>
      <w:tr>
        <w:trPr/>
        <w:tc>
          <w:tcPr>
            <w:tcW w:w="617" w:type="dxa"/>
            <w:tcBorders>
              <w:top w:val="single" w:sz="4" w:space="0" w:color="000000"/>
              <w:left w:val="single" w:sz="4" w:space="0" w:color="000000"/>
              <w:bottom w:val="single" w:sz="4" w:space="0" w:color="000000"/>
            </w:tcBorders>
          </w:tcPr>
          <w:p>
            <w:pPr>
              <w:pStyle w:val="Style28"/>
              <w:jc w:val="center"/>
              <w:rPr>
                <w:rFonts w:ascii="Times New Roman" w:hAnsi="Times New Roman"/>
                <w:sz w:val="22"/>
                <w:szCs w:val="22"/>
              </w:rPr>
            </w:pPr>
            <w:r>
              <w:rPr>
                <w:sz w:val="22"/>
                <w:szCs w:val="22"/>
              </w:rPr>
              <w:t>14.</w:t>
            </w:r>
          </w:p>
        </w:tc>
        <w:tc>
          <w:tcPr>
            <w:tcW w:w="1883" w:type="dxa"/>
            <w:tcBorders>
              <w:top w:val="single" w:sz="4" w:space="0" w:color="000000"/>
              <w:left w:val="single" w:sz="4" w:space="0" w:color="000000"/>
              <w:bottom w:val="single" w:sz="4" w:space="0" w:color="000000"/>
            </w:tcBorders>
          </w:tcPr>
          <w:p>
            <w:pPr>
              <w:pStyle w:val="Style28"/>
              <w:rPr>
                <w:rFonts w:ascii="Times New Roman" w:hAnsi="Times New Roman"/>
                <w:sz w:val="22"/>
                <w:szCs w:val="22"/>
              </w:rPr>
            </w:pPr>
            <w:r>
              <w:rPr>
                <w:sz w:val="22"/>
                <w:szCs w:val="22"/>
              </w:rPr>
              <w:t>Основное</w:t>
            </w:r>
          </w:p>
          <w:p>
            <w:pPr>
              <w:pStyle w:val="Style28"/>
              <w:rPr>
                <w:rFonts w:ascii="Times New Roman" w:hAnsi="Times New Roman"/>
                <w:sz w:val="22"/>
                <w:szCs w:val="22"/>
              </w:rPr>
            </w:pPr>
            <w:r>
              <w:rPr>
                <w:sz w:val="22"/>
                <w:szCs w:val="22"/>
              </w:rPr>
              <w:t>мероприятие 2.1.</w:t>
            </w:r>
          </w:p>
        </w:tc>
        <w:tc>
          <w:tcPr>
            <w:tcW w:w="2599" w:type="dxa"/>
            <w:tcBorders>
              <w:top w:val="single" w:sz="4" w:space="0" w:color="000000"/>
              <w:left w:val="single" w:sz="4" w:space="0" w:color="000000"/>
              <w:bottom w:val="single" w:sz="4" w:space="0" w:color="000000"/>
            </w:tcBorders>
          </w:tcPr>
          <w:p>
            <w:pPr>
              <w:pStyle w:val="Style28"/>
              <w:rPr>
                <w:rFonts w:ascii="Times New Roman" w:hAnsi="Times New Roman"/>
                <w:sz w:val="22"/>
                <w:szCs w:val="22"/>
              </w:rPr>
            </w:pPr>
            <w:r>
              <w:rPr>
                <w:sz w:val="22"/>
                <w:szCs w:val="22"/>
              </w:rPr>
              <w:t>Предоставление помощи детям и семьям, оказавшихся в трудной жизненной ситуации</w:t>
            </w:r>
          </w:p>
        </w:tc>
        <w:tc>
          <w:tcPr>
            <w:tcW w:w="2469" w:type="dxa"/>
            <w:tcBorders>
              <w:top w:val="single" w:sz="4" w:space="0" w:color="000000"/>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57" w:right="0"/>
              <w:jc w:val="both"/>
              <w:rPr>
                <w:rFonts w:ascii="Times New Roman" w:hAnsi="Times New Roman"/>
                <w:sz w:val="22"/>
                <w:szCs w:val="22"/>
              </w:rPr>
            </w:pPr>
            <w:r>
              <w:rPr>
                <w:rFonts w:cs="Times New Roman"/>
                <w:color w:val="000000"/>
                <w:sz w:val="22"/>
                <w:szCs w:val="22"/>
                <w:highlight w:val="white"/>
              </w:rPr>
              <w:t>ГУ РК «ЦЗН»</w:t>
            </w:r>
          </w:p>
        </w:tc>
        <w:tc>
          <w:tcPr>
            <w:tcW w:w="1892" w:type="dxa"/>
            <w:tcBorders>
              <w:top w:val="single" w:sz="4" w:space="0" w:color="000000"/>
              <w:left w:val="single" w:sz="4" w:space="0" w:color="000000"/>
              <w:bottom w:val="single" w:sz="4" w:space="0" w:color="000000"/>
            </w:tcBorders>
          </w:tcPr>
          <w:p>
            <w:pPr>
              <w:pStyle w:val="Style28"/>
              <w:jc w:val="center"/>
              <w:rPr>
                <w:rFonts w:ascii="Times New Roman" w:hAnsi="Times New Roman"/>
                <w:sz w:val="22"/>
                <w:szCs w:val="22"/>
              </w:rPr>
            </w:pPr>
            <w:r>
              <w:rPr>
                <w:sz w:val="22"/>
                <w:szCs w:val="22"/>
              </w:rPr>
              <w:t>420000,00</w:t>
            </w:r>
          </w:p>
        </w:tc>
        <w:tc>
          <w:tcPr>
            <w:tcW w:w="1892" w:type="dxa"/>
            <w:tcBorders>
              <w:top w:val="single" w:sz="4" w:space="0" w:color="000000"/>
              <w:left w:val="single" w:sz="4" w:space="0" w:color="000000"/>
              <w:bottom w:val="single" w:sz="4" w:space="0" w:color="000000"/>
            </w:tcBorders>
          </w:tcPr>
          <w:p>
            <w:pPr>
              <w:pStyle w:val="Style28"/>
              <w:jc w:val="center"/>
              <w:rPr>
                <w:rFonts w:ascii="Times New Roman" w:hAnsi="Times New Roman"/>
                <w:sz w:val="22"/>
                <w:szCs w:val="22"/>
              </w:rPr>
            </w:pPr>
            <w:r>
              <w:rPr>
                <w:sz w:val="22"/>
                <w:szCs w:val="22"/>
              </w:rPr>
              <w:t>140000,00</w:t>
            </w:r>
          </w:p>
        </w:tc>
        <w:tc>
          <w:tcPr>
            <w:tcW w:w="1895" w:type="dxa"/>
            <w:tcBorders>
              <w:top w:val="single" w:sz="4" w:space="0" w:color="000000"/>
              <w:left w:val="single" w:sz="4" w:space="0" w:color="000000"/>
              <w:bottom w:val="single" w:sz="4" w:space="0" w:color="000000"/>
            </w:tcBorders>
          </w:tcPr>
          <w:p>
            <w:pPr>
              <w:pStyle w:val="Style28"/>
              <w:jc w:val="center"/>
              <w:rPr>
                <w:rFonts w:ascii="Times New Roman" w:hAnsi="Times New Roman"/>
                <w:sz w:val="22"/>
                <w:szCs w:val="22"/>
              </w:rPr>
            </w:pPr>
            <w:r>
              <w:rPr>
                <w:sz w:val="22"/>
                <w:szCs w:val="22"/>
              </w:rPr>
              <w:t>140000,00</w:t>
            </w:r>
          </w:p>
        </w:tc>
        <w:tc>
          <w:tcPr>
            <w:tcW w:w="1888" w:type="dxa"/>
            <w:tcBorders>
              <w:top w:val="single" w:sz="4" w:space="0" w:color="000000"/>
              <w:left w:val="single" w:sz="4" w:space="0" w:color="000000"/>
              <w:bottom w:val="single" w:sz="4" w:space="0" w:color="000000"/>
              <w:right w:val="single" w:sz="4" w:space="0" w:color="000000"/>
            </w:tcBorders>
          </w:tcPr>
          <w:p>
            <w:pPr>
              <w:pStyle w:val="Style28"/>
              <w:jc w:val="center"/>
              <w:rPr>
                <w:rFonts w:ascii="Times New Roman" w:hAnsi="Times New Roman"/>
                <w:sz w:val="22"/>
                <w:szCs w:val="22"/>
              </w:rPr>
            </w:pPr>
            <w:r>
              <w:rPr>
                <w:sz w:val="22"/>
                <w:szCs w:val="22"/>
              </w:rPr>
              <w:t>140000,00</w:t>
            </w:r>
          </w:p>
        </w:tc>
      </w:tr>
    </w:tbl>
    <w:p>
      <w:pPr>
        <w:pStyle w:val="BodyText"/>
        <w:jc w:val="right"/>
        <w:rPr>
          <w:rFonts w:ascii="Times New Roman" w:hAnsi="Times New Roman"/>
          <w:sz w:val="24"/>
          <w:szCs w:val="24"/>
        </w:rPr>
      </w:pPr>
      <w:r>
        <w:rPr>
          <w:sz w:val="24"/>
          <w:szCs w:val="24"/>
        </w:rPr>
        <w:t>»;</w:t>
      </w:r>
    </w:p>
    <w:p>
      <w:pPr>
        <w:pStyle w:val="BodyText"/>
        <w:widowControl/>
        <w:suppressAutoHyphens w:val="false"/>
        <w:overflowPunct w:val="false"/>
        <w:bidi w:val="0"/>
        <w:spacing w:before="0" w:after="0"/>
        <w:ind w:hanging="0" w:left="709" w:right="0"/>
        <w:jc w:val="both"/>
        <w:rPr>
          <w:rFonts w:ascii="Times New Roman" w:hAnsi="Times New Roman"/>
          <w:sz w:val="24"/>
          <w:szCs w:val="24"/>
        </w:rPr>
      </w:pPr>
      <w:r>
        <w:rPr>
          <w:sz w:val="24"/>
          <w:szCs w:val="24"/>
        </w:rPr>
        <w:t>в) позиции 18, 19 изложить в следующей редакции:</w:t>
      </w:r>
    </w:p>
    <w:p>
      <w:pPr>
        <w:pStyle w:val="BodyText"/>
        <w:jc w:val="both"/>
        <w:rPr>
          <w:rFonts w:ascii="Times New Roman" w:hAnsi="Times New Roman"/>
          <w:sz w:val="24"/>
          <w:szCs w:val="24"/>
        </w:rPr>
      </w:pPr>
      <w:r>
        <w:rPr>
          <w:sz w:val="24"/>
          <w:szCs w:val="24"/>
        </w:rPr>
        <w:t>«</w:t>
      </w:r>
    </w:p>
    <w:tbl>
      <w:tblPr>
        <w:tblW w:w="5000" w:type="pct"/>
        <w:jc w:val="left"/>
        <w:tblInd w:w="55" w:type="dxa"/>
        <w:tblLayout w:type="fixed"/>
        <w:tblCellMar>
          <w:top w:w="55" w:type="dxa"/>
          <w:left w:w="55" w:type="dxa"/>
          <w:bottom w:w="55" w:type="dxa"/>
          <w:right w:w="55" w:type="dxa"/>
        </w:tblCellMar>
      </w:tblPr>
      <w:tblGrid>
        <w:gridCol w:w="617"/>
        <w:gridCol w:w="1883"/>
        <w:gridCol w:w="2599"/>
        <w:gridCol w:w="2469"/>
        <w:gridCol w:w="1892"/>
        <w:gridCol w:w="1892"/>
        <w:gridCol w:w="1895"/>
        <w:gridCol w:w="1888"/>
      </w:tblGrid>
      <w:tr>
        <w:trPr/>
        <w:tc>
          <w:tcPr>
            <w:tcW w:w="617" w:type="dxa"/>
            <w:vMerge w:val="restart"/>
            <w:tcBorders>
              <w:top w:val="single" w:sz="4" w:space="0" w:color="000000"/>
              <w:left w:val="single" w:sz="4" w:space="0" w:color="000000"/>
              <w:bottom w:val="single" w:sz="4" w:space="0" w:color="000000"/>
            </w:tcBorders>
          </w:tcPr>
          <w:p>
            <w:pPr>
              <w:pStyle w:val="ConsPlusCell"/>
              <w:widowControl w:val="false"/>
              <w:ind w:hanging="0" w:left="0" w:right="-74"/>
              <w:jc w:val="center"/>
              <w:rPr>
                <w:rFonts w:ascii="Times New Roman" w:hAnsi="Times New Roman"/>
                <w:sz w:val="22"/>
                <w:szCs w:val="22"/>
              </w:rPr>
            </w:pPr>
            <w:r>
              <w:rPr>
                <w:rFonts w:cs="Times New Roman"/>
                <w:color w:val="000000"/>
                <w:sz w:val="22"/>
                <w:szCs w:val="22"/>
                <w:highlight w:val="white"/>
              </w:rPr>
              <w:t>18.</w:t>
            </w:r>
          </w:p>
        </w:tc>
        <w:tc>
          <w:tcPr>
            <w:tcW w:w="1883"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jc w:val="both"/>
              <w:rPr>
                <w:rFonts w:ascii="Times New Roman" w:hAnsi="Times New Roman"/>
                <w:sz w:val="22"/>
                <w:szCs w:val="22"/>
              </w:rPr>
            </w:pPr>
            <w:r>
              <w:rPr>
                <w:rFonts w:cs="Times New Roman"/>
                <w:b/>
                <w:bCs/>
                <w:color w:val="000000"/>
                <w:sz w:val="22"/>
                <w:szCs w:val="22"/>
                <w:highlight w:val="white"/>
              </w:rPr>
              <w:t xml:space="preserve">Подпрограмма </w:t>
            </w:r>
            <w:r>
              <w:rPr>
                <w:rFonts w:cs="Times New Roman"/>
                <w:b/>
                <w:bCs/>
                <w:color w:val="000000"/>
                <w:sz w:val="22"/>
                <w:szCs w:val="22"/>
                <w:highlight w:val="white"/>
                <w:lang w:val="en-US"/>
              </w:rPr>
              <w:t>3</w:t>
            </w:r>
          </w:p>
        </w:tc>
        <w:tc>
          <w:tcPr>
            <w:tcW w:w="2599" w:type="dxa"/>
            <w:vMerge w:val="restart"/>
            <w:tcBorders>
              <w:top w:val="single" w:sz="4" w:space="0" w:color="000000"/>
              <w:left w:val="single" w:sz="4" w:space="0" w:color="000000"/>
              <w:bottom w:val="single" w:sz="4" w:space="0" w:color="000000"/>
            </w:tcBorders>
          </w:tcPr>
          <w:p>
            <w:pPr>
              <w:pStyle w:val="Normal"/>
              <w:widowControl w:val="false"/>
              <w:suppressAutoHyphens w:val="false"/>
              <w:bidi w:val="0"/>
              <w:spacing w:before="0" w:after="120"/>
              <w:jc w:val="both"/>
              <w:rPr>
                <w:rFonts w:ascii="Times New Roman" w:hAnsi="Times New Roman"/>
                <w:sz w:val="22"/>
                <w:szCs w:val="22"/>
              </w:rPr>
            </w:pPr>
            <w:r>
              <w:rPr>
                <w:rFonts w:cs="Times New Roman"/>
                <w:b/>
                <w:bCs/>
                <w:color w:val="000000"/>
                <w:sz w:val="22"/>
                <w:szCs w:val="22"/>
                <w:highlight w:val="white"/>
              </w:rPr>
              <w:t>«Содействие занятости населения»</w:t>
            </w:r>
          </w:p>
        </w:tc>
        <w:tc>
          <w:tcPr>
            <w:tcW w:w="2469" w:type="dxa"/>
            <w:tcBorders>
              <w:top w:val="single" w:sz="4" w:space="0" w:color="000000"/>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b/>
                <w:bCs/>
                <w:color w:val="000000"/>
                <w:sz w:val="22"/>
                <w:szCs w:val="22"/>
                <w:highlight w:val="white"/>
              </w:rPr>
              <w:t>Всего</w:t>
            </w:r>
          </w:p>
        </w:tc>
        <w:tc>
          <w:tcPr>
            <w:tcW w:w="1892" w:type="dxa"/>
            <w:tcBorders>
              <w:top w:val="single" w:sz="4" w:space="0" w:color="000000"/>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1230000,00</w:t>
            </w:r>
          </w:p>
        </w:tc>
        <w:tc>
          <w:tcPr>
            <w:tcW w:w="1892" w:type="dxa"/>
            <w:tcBorders>
              <w:top w:val="single" w:sz="4" w:space="0" w:color="000000"/>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410000,00</w:t>
            </w:r>
          </w:p>
        </w:tc>
        <w:tc>
          <w:tcPr>
            <w:tcW w:w="1895" w:type="dxa"/>
            <w:tcBorders>
              <w:top w:val="single" w:sz="4" w:space="0" w:color="000000"/>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b/>
                <w:bCs/>
                <w:color w:val="000000"/>
                <w:sz w:val="22"/>
                <w:szCs w:val="22"/>
                <w:highlight w:val="white"/>
              </w:rPr>
              <w:t>410000,00</w:t>
            </w:r>
          </w:p>
        </w:tc>
        <w:tc>
          <w:tcPr>
            <w:tcW w:w="1888"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b/>
                <w:bCs/>
                <w:color w:val="000000"/>
                <w:sz w:val="22"/>
                <w:szCs w:val="22"/>
                <w:highlight w:val="white"/>
              </w:rPr>
              <w:t>4100000,00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ЖКХиМК</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ОРТ</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ОГиДХ</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ОКиТО</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1230000,00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410000,00</w:t>
            </w:r>
          </w:p>
        </w:tc>
        <w:tc>
          <w:tcPr>
            <w:tcW w:w="1895" w:type="dxa"/>
            <w:tcBorders>
              <w:left w:val="single" w:sz="4" w:space="0" w:color="000000"/>
              <w:bottom w:val="single" w:sz="4" w:space="0" w:color="000000"/>
            </w:tcBorders>
          </w:tcPr>
          <w:p>
            <w:pPr>
              <w:pStyle w:val="ConsPlusCell"/>
              <w:widowControl w:val="false"/>
              <w:suppressAutoHyphens w:val="false"/>
              <w:bidi w:val="0"/>
              <w:spacing w:lineRule="auto" w:line="240" w:before="57" w:after="57"/>
              <w:jc w:val="center"/>
              <w:rPr>
                <w:rFonts w:ascii="Times New Roman" w:hAnsi="Times New Roman"/>
                <w:sz w:val="22"/>
                <w:szCs w:val="22"/>
              </w:rPr>
            </w:pPr>
            <w:r>
              <w:rPr>
                <w:rFonts w:cs="Times New Roman"/>
                <w:color w:val="000000"/>
                <w:sz w:val="22"/>
                <w:szCs w:val="22"/>
                <w:highlight w:val="white"/>
              </w:rPr>
              <w:t>410000,00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410000,00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ГУ РК «ЦЗН»</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restart"/>
            <w:tcBorders>
              <w:left w:val="single" w:sz="4" w:space="0" w:color="000000"/>
              <w:bottom w:val="single" w:sz="4" w:space="0" w:color="000000"/>
            </w:tcBorders>
          </w:tcPr>
          <w:p>
            <w:pPr>
              <w:pStyle w:val="ConsPlusCell"/>
              <w:widowControl w:val="false"/>
              <w:spacing w:before="57" w:after="57"/>
              <w:ind w:hanging="0" w:left="0" w:right="-74"/>
              <w:jc w:val="center"/>
              <w:rPr>
                <w:rFonts w:ascii="Times New Roman" w:hAnsi="Times New Roman"/>
                <w:sz w:val="22"/>
                <w:szCs w:val="22"/>
              </w:rPr>
            </w:pPr>
            <w:r>
              <w:rPr>
                <w:rFonts w:cs="Times New Roman"/>
                <w:color w:val="000000"/>
                <w:sz w:val="22"/>
                <w:szCs w:val="22"/>
                <w:highlight w:val="white"/>
              </w:rPr>
              <w:t>19.</w:t>
            </w:r>
          </w:p>
        </w:tc>
        <w:tc>
          <w:tcPr>
            <w:tcW w:w="1883" w:type="dxa"/>
            <w:vMerge w:val="restart"/>
            <w:tcBorders>
              <w:left w:val="single" w:sz="4" w:space="0" w:color="000000"/>
              <w:bottom w:val="single" w:sz="4" w:space="0" w:color="000000"/>
            </w:tcBorders>
          </w:tcPr>
          <w:p>
            <w:pPr>
              <w:pStyle w:val="ConsPlusCell"/>
              <w:widowControl w:val="false"/>
              <w:suppressAutoHyphens w:val="false"/>
              <w:bidi w:val="0"/>
              <w:spacing w:before="57" w:after="57"/>
              <w:jc w:val="both"/>
              <w:rPr>
                <w:rFonts w:ascii="Times New Roman" w:hAnsi="Times New Roman"/>
                <w:sz w:val="22"/>
                <w:szCs w:val="22"/>
              </w:rPr>
            </w:pPr>
            <w:r>
              <w:rPr>
                <w:rFonts w:cs="Times New Roman"/>
                <w:color w:val="000000"/>
                <w:sz w:val="22"/>
                <w:szCs w:val="22"/>
                <w:highlight w:val="white"/>
              </w:rPr>
              <w:t>Основное</w:t>
            </w:r>
          </w:p>
          <w:p>
            <w:pPr>
              <w:pStyle w:val="ConsPlusCell"/>
              <w:widowControl w:val="false"/>
              <w:suppressAutoHyphens w:val="false"/>
              <w:bidi w:val="0"/>
              <w:spacing w:before="57" w:after="57"/>
              <w:jc w:val="both"/>
              <w:rPr>
                <w:rFonts w:ascii="Times New Roman" w:hAnsi="Times New Roman"/>
                <w:sz w:val="22"/>
                <w:szCs w:val="22"/>
              </w:rPr>
            </w:pPr>
            <w:r>
              <w:rPr>
                <w:rFonts w:cs="Times New Roman"/>
                <w:color w:val="000000"/>
                <w:sz w:val="22"/>
                <w:szCs w:val="22"/>
                <w:highlight w:val="white"/>
              </w:rPr>
              <w:t>мероприятие 1.1.</w:t>
            </w:r>
          </w:p>
        </w:tc>
        <w:tc>
          <w:tcPr>
            <w:tcW w:w="2599" w:type="dxa"/>
            <w:vMerge w:val="restart"/>
            <w:tcBorders>
              <w:left w:val="single" w:sz="4" w:space="0" w:color="000000"/>
              <w:bottom w:val="single" w:sz="4" w:space="0" w:color="000000"/>
            </w:tcBorders>
          </w:tcPr>
          <w:p>
            <w:pPr>
              <w:pStyle w:val="ConsPlusCell"/>
              <w:widowControl w:val="false"/>
              <w:suppressAutoHyphens w:val="false"/>
              <w:bidi w:val="0"/>
              <w:spacing w:before="57" w:after="57"/>
              <w:jc w:val="both"/>
              <w:rPr>
                <w:rFonts w:ascii="Times New Roman" w:hAnsi="Times New Roman"/>
                <w:sz w:val="22"/>
                <w:szCs w:val="22"/>
              </w:rPr>
            </w:pPr>
            <w:r>
              <w:rPr>
                <w:rFonts w:cs="Times New Roman"/>
                <w:color w:val="000000"/>
                <w:sz w:val="22"/>
                <w:szCs w:val="22"/>
                <w:highlight w:val="white"/>
              </w:rPr>
              <w:t>Реализация социально-значимых проектов в рамках проекта «Народный бюджет»</w:t>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ЖКХиМК</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ОРТ</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pacing w:lineRule="auto" w:line="240" w:before="57" w:after="57"/>
              <w:rPr>
                <w:rFonts w:ascii="Times New Roman" w:hAnsi="Times New Roman"/>
                <w:sz w:val="22"/>
                <w:szCs w:val="22"/>
              </w:rPr>
            </w:pPr>
            <w:r>
              <w:rPr>
                <w:rFonts w:cs="Times New Roman"/>
                <w:color w:val="000000"/>
                <w:sz w:val="22"/>
                <w:szCs w:val="22"/>
                <w:highlight w:val="white"/>
              </w:rPr>
              <w:t>ОГиДХ</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2" w:type="dxa"/>
            <w:tcBorders>
              <w:left w:val="single" w:sz="4" w:space="0" w:color="000000"/>
              <w:bottom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95" w:type="dxa"/>
            <w:tcBorders>
              <w:left w:val="single" w:sz="4" w:space="0" w:color="000000"/>
              <w:bottom w:val="single" w:sz="4" w:space="0" w:color="000000"/>
            </w:tcBorders>
          </w:tcPr>
          <w:p>
            <w:pPr>
              <w:pStyle w:val="ConsPlusCell"/>
              <w:widowControl w:val="false"/>
              <w:suppressAutoHyphens w:val="false"/>
              <w:bidi w:val="0"/>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napToGrid w:val="false"/>
              <w:spacing w:lineRule="auto" w:line="240" w:before="57" w:after="57"/>
              <w:jc w:val="center"/>
              <w:rPr>
                <w:rFonts w:ascii="Times New Roman" w:hAnsi="Times New Roman"/>
                <w:sz w:val="22"/>
                <w:szCs w:val="22"/>
              </w:rPr>
            </w:pPr>
            <w:r>
              <w:rPr>
                <w:rFonts w:cs="Times New Roman"/>
                <w:color w:val="000000"/>
                <w:sz w:val="22"/>
                <w:szCs w:val="22"/>
                <w:highlight w:val="white"/>
              </w:rPr>
              <w:t>0,00</w:t>
            </w:r>
          </w:p>
        </w:tc>
      </w:tr>
    </w:tbl>
    <w:p>
      <w:pPr>
        <w:pStyle w:val="BodyText"/>
        <w:jc w:val="right"/>
        <w:rPr>
          <w:rFonts w:ascii="Times New Roman" w:hAnsi="Times New Roman"/>
          <w:sz w:val="24"/>
          <w:szCs w:val="24"/>
        </w:rPr>
      </w:pPr>
      <w:r>
        <w:rPr>
          <w:sz w:val="24"/>
          <w:szCs w:val="24"/>
        </w:rPr>
        <w:t>»;</w:t>
      </w:r>
    </w:p>
    <w:p>
      <w:pPr>
        <w:pStyle w:val="BodyText"/>
        <w:widowControl/>
        <w:suppressAutoHyphens w:val="false"/>
        <w:overflowPunct w:val="false"/>
        <w:bidi w:val="0"/>
        <w:spacing w:before="0" w:after="0"/>
        <w:ind w:hanging="0" w:left="709" w:right="0"/>
        <w:jc w:val="both"/>
        <w:rPr>
          <w:rFonts w:ascii="Times New Roman" w:hAnsi="Times New Roman"/>
          <w:sz w:val="24"/>
          <w:szCs w:val="24"/>
        </w:rPr>
      </w:pPr>
      <w:r>
        <w:rPr>
          <w:sz w:val="24"/>
          <w:szCs w:val="24"/>
        </w:rPr>
        <w:t>5) в таблице № 7:</w:t>
      </w:r>
    </w:p>
    <w:p>
      <w:pPr>
        <w:pStyle w:val="BodyText"/>
        <w:widowControl/>
        <w:suppressAutoHyphens w:val="false"/>
        <w:overflowPunct w:val="false"/>
        <w:bidi w:val="0"/>
        <w:spacing w:before="0" w:after="0"/>
        <w:ind w:hanging="0" w:left="709" w:right="0"/>
        <w:jc w:val="both"/>
        <w:rPr>
          <w:rFonts w:ascii="Times New Roman" w:hAnsi="Times New Roman"/>
          <w:sz w:val="24"/>
          <w:szCs w:val="24"/>
        </w:rPr>
      </w:pPr>
      <w:r>
        <w:rPr>
          <w:sz w:val="24"/>
          <w:szCs w:val="24"/>
        </w:rPr>
        <w:t>а) позицию 1 изложить в следующей редакции:</w:t>
      </w:r>
    </w:p>
    <w:p>
      <w:pPr>
        <w:pStyle w:val="BodyText"/>
        <w:jc w:val="both"/>
        <w:rPr>
          <w:rFonts w:ascii="Times New Roman" w:hAnsi="Times New Roman"/>
          <w:sz w:val="24"/>
          <w:szCs w:val="24"/>
        </w:rPr>
      </w:pPr>
      <w:r>
        <w:rPr>
          <w:sz w:val="24"/>
          <w:szCs w:val="24"/>
        </w:rPr>
        <w:t>«</w:t>
      </w:r>
    </w:p>
    <w:tbl>
      <w:tblPr>
        <w:tblW w:w="5000" w:type="pct"/>
        <w:jc w:val="left"/>
        <w:tblInd w:w="55" w:type="dxa"/>
        <w:tblLayout w:type="fixed"/>
        <w:tblCellMar>
          <w:top w:w="55" w:type="dxa"/>
          <w:left w:w="55" w:type="dxa"/>
          <w:bottom w:w="55" w:type="dxa"/>
          <w:right w:w="55" w:type="dxa"/>
        </w:tblCellMar>
      </w:tblPr>
      <w:tblGrid>
        <w:gridCol w:w="617"/>
        <w:gridCol w:w="1883"/>
        <w:gridCol w:w="2599"/>
        <w:gridCol w:w="2469"/>
        <w:gridCol w:w="1892"/>
        <w:gridCol w:w="1892"/>
        <w:gridCol w:w="1895"/>
        <w:gridCol w:w="1888"/>
      </w:tblGrid>
      <w:tr>
        <w:trPr/>
        <w:tc>
          <w:tcPr>
            <w:tcW w:w="617" w:type="dxa"/>
            <w:vMerge w:val="restart"/>
            <w:tcBorders>
              <w:top w:val="single" w:sz="4" w:space="0" w:color="000000"/>
              <w:left w:val="single" w:sz="4" w:space="0" w:color="000000"/>
              <w:bottom w:val="single" w:sz="4" w:space="0" w:color="000000"/>
            </w:tcBorders>
          </w:tcPr>
          <w:p>
            <w:pPr>
              <w:pStyle w:val="ConsPlusCell"/>
              <w:widowControl w:val="false"/>
              <w:spacing w:before="57" w:after="57"/>
              <w:jc w:val="center"/>
              <w:rPr>
                <w:rFonts w:ascii="Times New Roman" w:hAnsi="Times New Roman"/>
                <w:sz w:val="22"/>
                <w:szCs w:val="22"/>
              </w:rPr>
            </w:pPr>
            <w:r>
              <w:rPr>
                <w:b w:val="false"/>
                <w:bCs w:val="false"/>
                <w:color w:val="000000"/>
                <w:sz w:val="22"/>
                <w:szCs w:val="22"/>
                <w:highlight w:val="white"/>
              </w:rPr>
              <w:t>1.</w:t>
            </w:r>
          </w:p>
        </w:tc>
        <w:tc>
          <w:tcPr>
            <w:tcW w:w="1883"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spacing w:before="57" w:after="57"/>
              <w:jc w:val="both"/>
              <w:rPr>
                <w:rFonts w:ascii="Times New Roman" w:hAnsi="Times New Roman"/>
                <w:sz w:val="22"/>
                <w:szCs w:val="22"/>
              </w:rPr>
            </w:pPr>
            <w:r>
              <w:rPr>
                <w:b/>
                <w:bCs/>
                <w:color w:val="000000"/>
                <w:sz w:val="22"/>
                <w:szCs w:val="22"/>
                <w:highlight w:val="white"/>
              </w:rPr>
              <w:t>Муниципальная</w:t>
              <w:br/>
              <w:t>программа</w:t>
            </w:r>
          </w:p>
          <w:p>
            <w:pPr>
              <w:pStyle w:val="ConsPlusCell"/>
              <w:widowControl w:val="false"/>
              <w:suppressAutoHyphens w:val="false"/>
              <w:bidi w:val="0"/>
              <w:spacing w:before="57" w:after="57"/>
              <w:jc w:val="both"/>
              <w:rPr>
                <w:rFonts w:ascii="Times New Roman" w:hAnsi="Times New Roman"/>
                <w:b/>
                <w:bCs/>
                <w:color w:val="00000A"/>
                <w:sz w:val="22"/>
                <w:szCs w:val="22"/>
                <w:highlight w:val="white"/>
              </w:rPr>
            </w:pPr>
            <w:r>
              <w:rPr>
                <w:b/>
                <w:bCs/>
                <w:color w:val="00000A"/>
                <w:sz w:val="22"/>
                <w:szCs w:val="22"/>
                <w:highlight w:val="white"/>
              </w:rPr>
            </w:r>
          </w:p>
        </w:tc>
        <w:tc>
          <w:tcPr>
            <w:tcW w:w="2599"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spacing w:before="57" w:after="57"/>
              <w:jc w:val="both"/>
              <w:rPr>
                <w:rFonts w:ascii="Times New Roman" w:hAnsi="Times New Roman"/>
                <w:sz w:val="22"/>
                <w:szCs w:val="22"/>
              </w:rPr>
            </w:pPr>
            <w:r>
              <w:rPr>
                <w:b/>
                <w:bCs/>
                <w:color w:val="000000"/>
                <w:sz w:val="22"/>
                <w:szCs w:val="22"/>
                <w:highlight w:val="white"/>
              </w:rPr>
              <w:t>«Социальная защита населения»</w:t>
            </w:r>
          </w:p>
        </w:tc>
        <w:tc>
          <w:tcPr>
            <w:tcW w:w="2469" w:type="dxa"/>
            <w:tcBorders>
              <w:top w:val="single" w:sz="4" w:space="0" w:color="000000"/>
              <w:left w:val="single" w:sz="4" w:space="0" w:color="000000"/>
              <w:bottom w:val="single" w:sz="4" w:space="0" w:color="000000"/>
            </w:tcBorders>
          </w:tcPr>
          <w:p>
            <w:pPr>
              <w:pStyle w:val="ConsPlusCell"/>
              <w:widowControl w:val="false"/>
              <w:spacing w:lineRule="auto" w:line="240" w:before="0" w:after="0"/>
              <w:jc w:val="both"/>
              <w:rPr>
                <w:rFonts w:ascii="Times New Roman" w:hAnsi="Times New Roman"/>
                <w:sz w:val="22"/>
                <w:szCs w:val="22"/>
              </w:rPr>
            </w:pPr>
            <w:r>
              <w:rPr>
                <w:b/>
                <w:bCs/>
                <w:color w:val="000000"/>
                <w:sz w:val="22"/>
                <w:szCs w:val="22"/>
                <w:highlight w:val="white"/>
              </w:rPr>
              <w:t>Всего, в том числе:</w:t>
            </w:r>
          </w:p>
        </w:tc>
        <w:tc>
          <w:tcPr>
            <w:tcW w:w="1892" w:type="dxa"/>
            <w:tcBorders>
              <w:top w:val="single" w:sz="4" w:space="0" w:color="000000"/>
              <w:left w:val="single" w:sz="4" w:space="0" w:color="000000"/>
              <w:bottom w:val="single" w:sz="4" w:space="0" w:color="000000"/>
            </w:tcBorders>
          </w:tcPr>
          <w:p>
            <w:pPr>
              <w:pStyle w:val="ConsPlusCell"/>
              <w:widowControl w:val="false"/>
              <w:spacing w:lineRule="auto" w:line="240" w:before="0" w:after="0"/>
              <w:jc w:val="center"/>
              <w:rPr>
                <w:rFonts w:ascii="Times New Roman" w:hAnsi="Times New Roman"/>
                <w:sz w:val="22"/>
                <w:szCs w:val="22"/>
              </w:rPr>
            </w:pPr>
            <w:r>
              <w:rPr>
                <w:b/>
                <w:bCs/>
                <w:color w:val="000000"/>
                <w:sz w:val="22"/>
                <w:szCs w:val="22"/>
                <w:highlight w:val="white"/>
              </w:rPr>
              <w:t>8067264,00</w:t>
            </w:r>
          </w:p>
        </w:tc>
        <w:tc>
          <w:tcPr>
            <w:tcW w:w="1892"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0" w:left="0" w:right="0"/>
              <w:jc w:val="center"/>
              <w:rPr>
                <w:rFonts w:ascii="Times New Roman" w:hAnsi="Times New Roman"/>
                <w:sz w:val="22"/>
                <w:szCs w:val="22"/>
              </w:rPr>
            </w:pPr>
            <w:r>
              <w:rPr>
                <w:rFonts w:eastAsia="Arial" w:cs="Arial"/>
                <w:b/>
                <w:bCs/>
                <w:color w:val="000000"/>
                <w:spacing w:val="0"/>
                <w:sz w:val="22"/>
                <w:szCs w:val="22"/>
                <w:highlight w:val="white"/>
              </w:rPr>
              <w:t>2689088,00</w:t>
            </w:r>
          </w:p>
        </w:tc>
        <w:tc>
          <w:tcPr>
            <w:tcW w:w="1895" w:type="dxa"/>
            <w:tcBorders>
              <w:top w:val="single" w:sz="4" w:space="0" w:color="000000"/>
              <w:left w:val="single" w:sz="4" w:space="0" w:color="000000"/>
              <w:bottom w:val="single" w:sz="4" w:space="0" w:color="000000"/>
            </w:tcBorders>
          </w:tcPr>
          <w:p>
            <w:pPr>
              <w:pStyle w:val="Normal"/>
              <w:widowControl w:val="false"/>
              <w:suppressAutoHyphens w:val="true"/>
              <w:overflowPunct w:val="false"/>
              <w:bidi w:val="0"/>
              <w:spacing w:lineRule="auto" w:line="240" w:before="0" w:after="0"/>
              <w:ind w:hanging="0" w:left="0" w:right="0"/>
              <w:jc w:val="center"/>
              <w:rPr>
                <w:rFonts w:ascii="Times New Roman" w:hAnsi="Times New Roman"/>
                <w:sz w:val="22"/>
                <w:szCs w:val="22"/>
              </w:rPr>
            </w:pPr>
            <w:r>
              <w:rPr>
                <w:rFonts w:eastAsia="Arial" w:cs="Arial"/>
                <w:b/>
                <w:bCs/>
                <w:color w:val="000000"/>
                <w:spacing w:val="0"/>
                <w:sz w:val="22"/>
                <w:szCs w:val="22"/>
                <w:highlight w:val="white"/>
              </w:rPr>
              <w:t>2689088,00</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ight="0"/>
              <w:jc w:val="center"/>
              <w:rPr>
                <w:rFonts w:ascii="Times New Roman" w:hAnsi="Times New Roman"/>
                <w:sz w:val="22"/>
                <w:szCs w:val="22"/>
              </w:rPr>
            </w:pPr>
            <w:r>
              <w:rPr>
                <w:rFonts w:eastAsia="Arial" w:cs="Arial"/>
                <w:b/>
                <w:bCs/>
                <w:color w:val="000000"/>
                <w:spacing w:val="0"/>
                <w:sz w:val="22"/>
                <w:szCs w:val="22"/>
                <w:highlight w:val="white"/>
              </w:rPr>
              <w:t>2689088,00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lineRule="auto" w:line="240" w:before="0" w:after="0"/>
              <w:jc w:val="both"/>
              <w:rPr>
                <w:rFonts w:ascii="Times New Roman" w:hAnsi="Times New Roman"/>
                <w:sz w:val="22"/>
                <w:szCs w:val="22"/>
              </w:rPr>
            </w:pPr>
            <w:r>
              <w:rPr>
                <w:color w:val="000000"/>
                <w:sz w:val="22"/>
                <w:szCs w:val="22"/>
                <w:highlight w:val="white"/>
              </w:rPr>
              <w:t>Бюджет муниципального  округа «Вуктыл», из них за счет средств:</w:t>
            </w:r>
          </w:p>
        </w:tc>
        <w:tc>
          <w:tcPr>
            <w:tcW w:w="1892" w:type="dxa"/>
            <w:tcBorders>
              <w:left w:val="single" w:sz="4" w:space="0" w:color="000000"/>
              <w:bottom w:val="single" w:sz="4" w:space="0" w:color="000000"/>
            </w:tcBorders>
          </w:tcPr>
          <w:p>
            <w:pPr>
              <w:pStyle w:val="ConsPlusCell"/>
              <w:widowControl w:val="false"/>
              <w:spacing w:lineRule="auto" w:line="240" w:before="57" w:after="57"/>
              <w:jc w:val="center"/>
              <w:rPr>
                <w:rFonts w:ascii="Times New Roman" w:hAnsi="Times New Roman"/>
                <w:sz w:val="22"/>
                <w:szCs w:val="22"/>
              </w:rPr>
            </w:pPr>
            <w:r>
              <w:rPr>
                <w:color w:val="000000"/>
                <w:sz w:val="22"/>
                <w:szCs w:val="22"/>
                <w:highlight w:val="white"/>
              </w:rPr>
              <w:t>8067264,00</w:t>
            </w:r>
          </w:p>
        </w:tc>
        <w:tc>
          <w:tcPr>
            <w:tcW w:w="1892" w:type="dxa"/>
            <w:tcBorders>
              <w:left w:val="single" w:sz="4" w:space="0" w:color="000000"/>
              <w:bottom w:val="single" w:sz="4" w:space="0" w:color="000000"/>
            </w:tcBorders>
          </w:tcPr>
          <w:p>
            <w:pPr>
              <w:pStyle w:val="Normal"/>
              <w:widowControl w:val="false"/>
              <w:spacing w:lineRule="auto" w:line="240" w:before="57" w:after="57"/>
              <w:ind w:hanging="0" w:left="0" w:right="0"/>
              <w:jc w:val="center"/>
              <w:rPr>
                <w:rFonts w:ascii="Times New Roman" w:hAnsi="Times New Roman"/>
                <w:sz w:val="22"/>
                <w:szCs w:val="22"/>
              </w:rPr>
            </w:pPr>
            <w:r>
              <w:rPr>
                <w:rFonts w:eastAsia="Arial" w:cs="Arial"/>
                <w:color w:val="000000"/>
                <w:spacing w:val="0"/>
                <w:sz w:val="22"/>
                <w:szCs w:val="22"/>
                <w:highlight w:val="white"/>
              </w:rPr>
              <w:t>2689088,00</w:t>
            </w:r>
          </w:p>
        </w:tc>
        <w:tc>
          <w:tcPr>
            <w:tcW w:w="1895" w:type="dxa"/>
            <w:tcBorders>
              <w:left w:val="single" w:sz="4" w:space="0" w:color="000000"/>
              <w:bottom w:val="single" w:sz="4" w:space="0" w:color="000000"/>
            </w:tcBorders>
          </w:tcPr>
          <w:p>
            <w:pPr>
              <w:pStyle w:val="Normal"/>
              <w:widowControl w:val="false"/>
              <w:suppressAutoHyphens w:val="true"/>
              <w:overflowPunct w:val="false"/>
              <w:bidi w:val="0"/>
              <w:spacing w:lineRule="auto" w:line="240" w:before="57" w:after="57"/>
              <w:ind w:hanging="0" w:left="0" w:right="0"/>
              <w:jc w:val="center"/>
              <w:rPr>
                <w:rFonts w:ascii="Times New Roman" w:hAnsi="Times New Roman"/>
                <w:sz w:val="22"/>
                <w:szCs w:val="22"/>
              </w:rPr>
            </w:pPr>
            <w:r>
              <w:rPr>
                <w:rFonts w:eastAsia="Arial" w:cs="Arial"/>
                <w:color w:val="000000"/>
                <w:spacing w:val="0"/>
                <w:sz w:val="22"/>
                <w:szCs w:val="22"/>
                <w:highlight w:val="white"/>
              </w:rPr>
              <w:t>2689088,00</w:t>
            </w:r>
          </w:p>
        </w:tc>
        <w:tc>
          <w:tcPr>
            <w:tcW w:w="1888" w:type="dxa"/>
            <w:tcBorders>
              <w:left w:val="single" w:sz="4" w:space="0" w:color="000000"/>
              <w:bottom w:val="single" w:sz="4" w:space="0" w:color="000000"/>
              <w:right w:val="single" w:sz="4" w:space="0" w:color="000000"/>
            </w:tcBorders>
          </w:tcPr>
          <w:p>
            <w:pPr>
              <w:pStyle w:val="Normal"/>
              <w:widowControl w:val="false"/>
              <w:spacing w:lineRule="auto" w:line="240" w:before="57" w:after="57"/>
              <w:ind w:hanging="0" w:left="0" w:right="0"/>
              <w:jc w:val="center"/>
              <w:rPr>
                <w:rFonts w:ascii="Times New Roman" w:hAnsi="Times New Roman"/>
                <w:sz w:val="22"/>
                <w:szCs w:val="22"/>
              </w:rPr>
            </w:pPr>
            <w:r>
              <w:rPr>
                <w:rFonts w:eastAsia="Arial" w:cs="Arial"/>
                <w:color w:val="000000"/>
                <w:spacing w:val="0"/>
                <w:sz w:val="22"/>
                <w:szCs w:val="22"/>
                <w:highlight w:val="white"/>
              </w:rPr>
              <w:t>2689088,00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lineRule="auto" w:line="240" w:before="0" w:after="0"/>
              <w:jc w:val="both"/>
              <w:rPr>
                <w:rFonts w:ascii="Times New Roman" w:hAnsi="Times New Roman"/>
                <w:sz w:val="22"/>
                <w:szCs w:val="22"/>
              </w:rPr>
            </w:pPr>
            <w:r>
              <w:rPr>
                <w:color w:val="000000"/>
                <w:sz w:val="22"/>
                <w:szCs w:val="22"/>
                <w:highlight w:val="white"/>
              </w:rPr>
              <w:t>Местного бюджета</w:t>
            </w:r>
          </w:p>
        </w:tc>
        <w:tc>
          <w:tcPr>
            <w:tcW w:w="1892" w:type="dxa"/>
            <w:tcBorders>
              <w:left w:val="single" w:sz="4" w:space="0" w:color="000000"/>
              <w:bottom w:val="single" w:sz="4" w:space="0" w:color="000000"/>
            </w:tcBorders>
          </w:tcPr>
          <w:p>
            <w:pPr>
              <w:pStyle w:val="ConsPlusCell"/>
              <w:widowControl w:val="false"/>
              <w:spacing w:lineRule="auto" w:line="240" w:before="0" w:after="0"/>
              <w:jc w:val="center"/>
              <w:rPr>
                <w:rFonts w:ascii="Times New Roman" w:hAnsi="Times New Roman"/>
                <w:sz w:val="22"/>
                <w:szCs w:val="22"/>
              </w:rPr>
            </w:pPr>
            <w:r>
              <w:rPr>
                <w:color w:val="000000"/>
                <w:sz w:val="22"/>
                <w:szCs w:val="22"/>
                <w:highlight w:val="white"/>
              </w:rPr>
              <w:t>2814000,00</w:t>
            </w:r>
          </w:p>
        </w:tc>
        <w:tc>
          <w:tcPr>
            <w:tcW w:w="1892" w:type="dxa"/>
            <w:tcBorders>
              <w:left w:val="single" w:sz="4" w:space="0" w:color="000000"/>
              <w:bottom w:val="single" w:sz="4" w:space="0" w:color="000000"/>
            </w:tcBorders>
          </w:tcPr>
          <w:p>
            <w:pPr>
              <w:pStyle w:val="Normal"/>
              <w:widowControl w:val="false"/>
              <w:spacing w:lineRule="auto"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938000,00</w:t>
            </w:r>
          </w:p>
        </w:tc>
        <w:tc>
          <w:tcPr>
            <w:tcW w:w="1895" w:type="dxa"/>
            <w:tcBorders>
              <w:left w:val="single" w:sz="4" w:space="0" w:color="000000"/>
              <w:bottom w:val="single" w:sz="4" w:space="0" w:color="000000"/>
            </w:tcBorders>
          </w:tcPr>
          <w:p>
            <w:pPr>
              <w:pStyle w:val="Normal"/>
              <w:widowControl w:val="false"/>
              <w:spacing w:lineRule="auto"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938000,00</w:t>
            </w:r>
          </w:p>
        </w:tc>
        <w:tc>
          <w:tcPr>
            <w:tcW w:w="1888"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938000,00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lineRule="auto" w:line="240" w:before="0" w:after="0"/>
              <w:jc w:val="both"/>
              <w:rPr>
                <w:rFonts w:ascii="Times New Roman" w:hAnsi="Times New Roman"/>
                <w:sz w:val="22"/>
                <w:szCs w:val="22"/>
              </w:rPr>
            </w:pPr>
            <w:r>
              <w:rPr>
                <w:color w:val="000000"/>
                <w:sz w:val="22"/>
                <w:szCs w:val="22"/>
                <w:highlight w:val="white"/>
              </w:rPr>
              <w:t>Федерального бюджета Российской Федерации</w:t>
            </w:r>
          </w:p>
        </w:tc>
        <w:tc>
          <w:tcPr>
            <w:tcW w:w="1892" w:type="dxa"/>
            <w:tcBorders>
              <w:left w:val="single" w:sz="4" w:space="0" w:color="000000"/>
              <w:bottom w:val="single" w:sz="4" w:space="0" w:color="000000"/>
            </w:tcBorders>
          </w:tcPr>
          <w:p>
            <w:pPr>
              <w:pStyle w:val="ConsPlusCell"/>
              <w:widowControl w:val="false"/>
              <w:spacing w:lineRule="auto" w:line="240" w:before="0" w:after="0"/>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auto"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lineRule="auto" w:line="240" w:before="0" w:after="0"/>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lineRule="auto" w:line="240" w:before="0" w:after="0"/>
              <w:jc w:val="center"/>
              <w:rPr>
                <w:rFonts w:ascii="Times New Roman" w:hAnsi="Times New Roman"/>
                <w:sz w:val="22"/>
                <w:szCs w:val="22"/>
              </w:rPr>
            </w:pPr>
            <w:r>
              <w:rPr>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lineRule="auto" w:line="240" w:before="0" w:after="0"/>
              <w:jc w:val="both"/>
              <w:rPr>
                <w:rFonts w:ascii="Times New Roman" w:hAnsi="Times New Roman"/>
                <w:sz w:val="22"/>
                <w:szCs w:val="22"/>
              </w:rPr>
            </w:pPr>
            <w:r>
              <w:rPr>
                <w:color w:val="000000"/>
                <w:sz w:val="22"/>
                <w:szCs w:val="22"/>
                <w:highlight w:val="white"/>
              </w:rPr>
              <w:t>Республиканского бюджета Республики Коми</w:t>
            </w:r>
          </w:p>
        </w:tc>
        <w:tc>
          <w:tcPr>
            <w:tcW w:w="1892" w:type="dxa"/>
            <w:tcBorders>
              <w:left w:val="single" w:sz="4" w:space="0" w:color="000000"/>
              <w:bottom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lang w:val="ru-RU"/>
              </w:rPr>
              <w:t>5253264</w:t>
            </w:r>
            <w:r>
              <w:rPr>
                <w:color w:val="000000"/>
                <w:sz w:val="22"/>
                <w:szCs w:val="22"/>
                <w:highlight w:val="white"/>
                <w:lang w:val="en-US"/>
              </w:rPr>
              <w:t>,00</w:t>
            </w:r>
          </w:p>
        </w:tc>
        <w:tc>
          <w:tcPr>
            <w:tcW w:w="1892" w:type="dxa"/>
            <w:tcBorders>
              <w:left w:val="single" w:sz="4" w:space="0" w:color="000000"/>
              <w:bottom w:val="single" w:sz="4" w:space="0" w:color="000000"/>
            </w:tcBorders>
          </w:tcPr>
          <w:p>
            <w:pPr>
              <w:pStyle w:val="Normal"/>
              <w:widowControl w:val="false"/>
              <w:spacing w:lineRule="auto" w:line="240" w:before="114" w:after="114"/>
              <w:ind w:hanging="0" w:left="0" w:right="0"/>
              <w:jc w:val="center"/>
              <w:rPr>
                <w:rFonts w:ascii="Times New Roman" w:hAnsi="Times New Roman"/>
                <w:sz w:val="22"/>
                <w:szCs w:val="22"/>
              </w:rPr>
            </w:pPr>
            <w:r>
              <w:rPr>
                <w:rFonts w:eastAsia="Arial" w:cs="Arial"/>
                <w:color w:val="000000"/>
                <w:spacing w:val="0"/>
                <w:sz w:val="22"/>
                <w:szCs w:val="22"/>
                <w:highlight w:val="white"/>
              </w:rPr>
              <w:t>1751088,00</w:t>
            </w:r>
          </w:p>
        </w:tc>
        <w:tc>
          <w:tcPr>
            <w:tcW w:w="1895" w:type="dxa"/>
            <w:tcBorders>
              <w:left w:val="single" w:sz="4" w:space="0" w:color="000000"/>
              <w:bottom w:val="single" w:sz="4" w:space="0" w:color="000000"/>
            </w:tcBorders>
          </w:tcPr>
          <w:p>
            <w:pPr>
              <w:pStyle w:val="Normal"/>
              <w:widowControl w:val="false"/>
              <w:spacing w:lineRule="auto" w:line="240" w:before="114" w:after="114"/>
              <w:ind w:hanging="0" w:left="0" w:right="0"/>
              <w:jc w:val="center"/>
              <w:rPr>
                <w:rFonts w:ascii="Times New Roman" w:hAnsi="Times New Roman"/>
                <w:sz w:val="22"/>
                <w:szCs w:val="22"/>
              </w:rPr>
            </w:pPr>
            <w:r>
              <w:rPr>
                <w:rFonts w:eastAsia="Arial" w:cs="Arial"/>
                <w:color w:val="000000"/>
                <w:spacing w:val="0"/>
                <w:sz w:val="22"/>
                <w:szCs w:val="22"/>
                <w:highlight w:val="white"/>
              </w:rPr>
              <w:t>1751088,00</w:t>
            </w:r>
          </w:p>
        </w:tc>
        <w:tc>
          <w:tcPr>
            <w:tcW w:w="1888" w:type="dxa"/>
            <w:tcBorders>
              <w:left w:val="single" w:sz="4" w:space="0" w:color="000000"/>
              <w:bottom w:val="single" w:sz="4" w:space="0" w:color="000000"/>
              <w:right w:val="single" w:sz="4" w:space="0" w:color="000000"/>
            </w:tcBorders>
          </w:tcPr>
          <w:p>
            <w:pPr>
              <w:pStyle w:val="Normal"/>
              <w:widowControl w:val="false"/>
              <w:spacing w:lineRule="auto" w:line="240" w:before="114" w:after="114"/>
              <w:ind w:hanging="0" w:left="0" w:right="0"/>
              <w:jc w:val="center"/>
              <w:rPr>
                <w:rFonts w:ascii="Times New Roman" w:hAnsi="Times New Roman"/>
                <w:sz w:val="22"/>
                <w:szCs w:val="22"/>
              </w:rPr>
            </w:pPr>
            <w:r>
              <w:rPr>
                <w:rFonts w:eastAsia="Arial" w:cs="Arial"/>
                <w:color w:val="000000"/>
                <w:spacing w:val="0"/>
                <w:sz w:val="22"/>
                <w:szCs w:val="22"/>
                <w:highlight w:val="white"/>
              </w:rPr>
              <w:t>1751088,00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lineRule="auto" w:line="240" w:before="0" w:after="0"/>
              <w:jc w:val="both"/>
              <w:rPr>
                <w:rFonts w:ascii="Times New Roman" w:hAnsi="Times New Roman"/>
                <w:sz w:val="22"/>
                <w:szCs w:val="22"/>
              </w:rPr>
            </w:pPr>
            <w:r>
              <w:rPr>
                <w:color w:val="000000"/>
                <w:sz w:val="22"/>
                <w:szCs w:val="22"/>
                <w:highlight w:val="white"/>
              </w:rPr>
              <w:t>Юридические лица</w:t>
            </w:r>
          </w:p>
        </w:tc>
        <w:tc>
          <w:tcPr>
            <w:tcW w:w="1892" w:type="dxa"/>
            <w:tcBorders>
              <w:left w:val="single" w:sz="4" w:space="0" w:color="000000"/>
              <w:bottom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auto" w:line="240" w:before="114" w:after="114"/>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lineRule="auto" w:line="240" w:before="0" w:after="0"/>
              <w:jc w:val="both"/>
              <w:rPr>
                <w:rFonts w:ascii="Times New Roman" w:hAnsi="Times New Roman"/>
                <w:sz w:val="22"/>
                <w:szCs w:val="22"/>
              </w:rPr>
            </w:pPr>
            <w:r>
              <w:rPr>
                <w:color w:val="000000"/>
                <w:sz w:val="22"/>
                <w:szCs w:val="22"/>
                <w:highlight w:val="white"/>
              </w:rPr>
              <w:t>Средства от приносящей доход деятельности</w:t>
            </w:r>
          </w:p>
        </w:tc>
        <w:tc>
          <w:tcPr>
            <w:tcW w:w="1892" w:type="dxa"/>
            <w:tcBorders>
              <w:left w:val="single" w:sz="4" w:space="0" w:color="000000"/>
              <w:bottom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auto" w:line="240" w:before="114" w:after="114"/>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lineRule="auto" w:line="240" w:before="114" w:after="114"/>
              <w:jc w:val="center"/>
              <w:rPr>
                <w:rFonts w:ascii="Times New Roman" w:hAnsi="Times New Roman"/>
                <w:sz w:val="22"/>
                <w:szCs w:val="22"/>
              </w:rPr>
            </w:pPr>
            <w:r>
              <w:rPr>
                <w:color w:val="000000"/>
                <w:sz w:val="22"/>
                <w:szCs w:val="22"/>
                <w:highlight w:val="white"/>
              </w:rPr>
              <w:t>0,00</w:t>
            </w:r>
          </w:p>
        </w:tc>
      </w:tr>
    </w:tbl>
    <w:p>
      <w:pPr>
        <w:pStyle w:val="BodyText"/>
        <w:jc w:val="right"/>
        <w:rPr>
          <w:rFonts w:ascii="Times New Roman" w:hAnsi="Times New Roman"/>
          <w:sz w:val="24"/>
          <w:szCs w:val="24"/>
        </w:rPr>
      </w:pPr>
      <w:r>
        <w:rPr>
          <w:sz w:val="24"/>
          <w:szCs w:val="24"/>
        </w:rPr>
        <w:t>»;</w:t>
      </w:r>
    </w:p>
    <w:p>
      <w:pPr>
        <w:pStyle w:val="BodyText"/>
        <w:widowControl/>
        <w:suppressAutoHyphens w:val="false"/>
        <w:overflowPunct w:val="false"/>
        <w:bidi w:val="0"/>
        <w:spacing w:before="0" w:after="0"/>
        <w:ind w:hanging="0" w:left="709" w:right="0"/>
        <w:jc w:val="both"/>
        <w:rPr>
          <w:rFonts w:ascii="Times New Roman" w:hAnsi="Times New Roman"/>
          <w:sz w:val="24"/>
          <w:szCs w:val="24"/>
        </w:rPr>
      </w:pPr>
      <w:r>
        <w:rPr>
          <w:sz w:val="24"/>
          <w:szCs w:val="24"/>
        </w:rPr>
        <w:t>б) позицию 14 изложить в следующей редакции:</w:t>
      </w:r>
    </w:p>
    <w:p>
      <w:pPr>
        <w:pStyle w:val="BodyText"/>
        <w:jc w:val="both"/>
        <w:rPr>
          <w:rFonts w:ascii="Times New Roman" w:hAnsi="Times New Roman"/>
          <w:sz w:val="24"/>
          <w:szCs w:val="24"/>
        </w:rPr>
      </w:pPr>
      <w:r>
        <w:rPr>
          <w:sz w:val="24"/>
          <w:szCs w:val="24"/>
        </w:rPr>
        <w:t>«</w:t>
      </w:r>
    </w:p>
    <w:tbl>
      <w:tblPr>
        <w:tblW w:w="5000" w:type="pct"/>
        <w:jc w:val="left"/>
        <w:tblInd w:w="55" w:type="dxa"/>
        <w:tblLayout w:type="fixed"/>
        <w:tblCellMar>
          <w:top w:w="55" w:type="dxa"/>
          <w:left w:w="55" w:type="dxa"/>
          <w:bottom w:w="55" w:type="dxa"/>
          <w:right w:w="55" w:type="dxa"/>
        </w:tblCellMar>
      </w:tblPr>
      <w:tblGrid>
        <w:gridCol w:w="617"/>
        <w:gridCol w:w="1883"/>
        <w:gridCol w:w="2599"/>
        <w:gridCol w:w="2469"/>
        <w:gridCol w:w="1892"/>
        <w:gridCol w:w="1892"/>
        <w:gridCol w:w="1895"/>
        <w:gridCol w:w="1888"/>
      </w:tblGrid>
      <w:tr>
        <w:trPr/>
        <w:tc>
          <w:tcPr>
            <w:tcW w:w="617" w:type="dxa"/>
            <w:vMerge w:val="restart"/>
            <w:tcBorders>
              <w:top w:val="single" w:sz="4" w:space="0" w:color="000000"/>
              <w:left w:val="single" w:sz="4" w:space="0" w:color="000000"/>
              <w:bottom w:val="single" w:sz="4" w:space="0" w:color="000000"/>
            </w:tcBorders>
          </w:tcPr>
          <w:p>
            <w:pPr>
              <w:pStyle w:val="ConsPlusCell"/>
              <w:widowControl w:val="false"/>
              <w:spacing w:before="57" w:after="57"/>
              <w:jc w:val="center"/>
              <w:rPr>
                <w:rFonts w:ascii="Times New Roman" w:hAnsi="Times New Roman"/>
                <w:sz w:val="22"/>
                <w:szCs w:val="22"/>
              </w:rPr>
            </w:pPr>
            <w:r>
              <w:rPr>
                <w:color w:val="000000"/>
                <w:sz w:val="22"/>
                <w:szCs w:val="22"/>
                <w:highlight w:val="white"/>
              </w:rPr>
              <w:t>14.</w:t>
            </w:r>
          </w:p>
        </w:tc>
        <w:tc>
          <w:tcPr>
            <w:tcW w:w="1883" w:type="dxa"/>
            <w:vMerge w:val="restart"/>
            <w:tcBorders>
              <w:top w:val="single" w:sz="4" w:space="0" w:color="000000"/>
              <w:left w:val="single" w:sz="4" w:space="0" w:color="000000"/>
              <w:bottom w:val="single" w:sz="4" w:space="0" w:color="000000"/>
            </w:tcBorders>
          </w:tcPr>
          <w:p>
            <w:pPr>
              <w:pStyle w:val="ConsPlusCell"/>
              <w:widowControl w:val="false"/>
              <w:spacing w:before="57" w:after="57"/>
              <w:jc w:val="both"/>
              <w:rPr>
                <w:rFonts w:ascii="Times New Roman" w:hAnsi="Times New Roman"/>
                <w:sz w:val="22"/>
                <w:szCs w:val="22"/>
              </w:rPr>
            </w:pPr>
            <w:r>
              <w:rPr>
                <w:color w:val="000000"/>
                <w:sz w:val="22"/>
                <w:szCs w:val="22"/>
                <w:highlight w:val="white"/>
              </w:rPr>
              <w:t>Основное</w:t>
            </w:r>
          </w:p>
          <w:p>
            <w:pPr>
              <w:pStyle w:val="ConsPlusCell"/>
              <w:widowControl w:val="false"/>
              <w:spacing w:before="57" w:after="57"/>
              <w:jc w:val="both"/>
              <w:rPr>
                <w:rFonts w:ascii="Times New Roman" w:hAnsi="Times New Roman"/>
                <w:sz w:val="22"/>
                <w:szCs w:val="22"/>
              </w:rPr>
            </w:pPr>
            <w:r>
              <w:rPr>
                <w:color w:val="000000"/>
                <w:sz w:val="22"/>
                <w:szCs w:val="22"/>
                <w:highlight w:val="white"/>
              </w:rPr>
              <w:t>мероприятие 2.1.</w:t>
            </w:r>
          </w:p>
        </w:tc>
        <w:tc>
          <w:tcPr>
            <w:tcW w:w="2599" w:type="dxa"/>
            <w:vMerge w:val="restart"/>
            <w:tcBorders>
              <w:top w:val="single" w:sz="4" w:space="0" w:color="000000"/>
              <w:left w:val="single" w:sz="4" w:space="0" w:color="000000"/>
              <w:bottom w:val="single" w:sz="4" w:space="0" w:color="000000"/>
            </w:tcBorders>
          </w:tcPr>
          <w:p>
            <w:pPr>
              <w:pStyle w:val="Style28"/>
              <w:rPr>
                <w:rFonts w:ascii="Times New Roman" w:hAnsi="Times New Roman"/>
                <w:sz w:val="22"/>
                <w:szCs w:val="22"/>
              </w:rPr>
            </w:pPr>
            <w:r>
              <w:rPr>
                <w:color w:val="000000"/>
                <w:sz w:val="22"/>
                <w:szCs w:val="22"/>
                <w:highlight w:val="white"/>
              </w:rPr>
              <w:t>Предоставление помощи детям и семьям, оказавшихся в трудной жизненной ситуации</w:t>
            </w:r>
          </w:p>
        </w:tc>
        <w:tc>
          <w:tcPr>
            <w:tcW w:w="2469" w:type="dxa"/>
            <w:tcBorders>
              <w:top w:val="single" w:sz="4" w:space="0" w:color="000000"/>
              <w:left w:val="single" w:sz="4" w:space="0" w:color="000000"/>
              <w:bottom w:val="single" w:sz="4" w:space="0" w:color="000000"/>
            </w:tcBorders>
          </w:tcPr>
          <w:p>
            <w:pPr>
              <w:pStyle w:val="ConsPlusCell"/>
              <w:widowControl w:val="false"/>
              <w:spacing w:before="0" w:after="0"/>
              <w:jc w:val="both"/>
              <w:rPr>
                <w:rFonts w:ascii="Times New Roman" w:hAnsi="Times New Roman"/>
                <w:sz w:val="22"/>
                <w:szCs w:val="22"/>
              </w:rPr>
            </w:pPr>
            <w:r>
              <w:rPr>
                <w:b/>
                <w:bCs/>
                <w:color w:val="000000"/>
                <w:sz w:val="22"/>
                <w:szCs w:val="22"/>
                <w:highlight w:val="white"/>
              </w:rPr>
              <w:t>Всего, в том числе:</w:t>
            </w:r>
          </w:p>
        </w:tc>
        <w:tc>
          <w:tcPr>
            <w:tcW w:w="1892" w:type="dxa"/>
            <w:tcBorders>
              <w:top w:val="single" w:sz="4" w:space="0" w:color="000000"/>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b/>
                <w:bCs/>
                <w:color w:val="000000"/>
                <w:sz w:val="22"/>
                <w:szCs w:val="22"/>
                <w:highlight w:val="white"/>
                <w:lang w:val="ru-RU"/>
              </w:rPr>
              <w:t>420000</w:t>
            </w:r>
            <w:r>
              <w:rPr>
                <w:b/>
                <w:bCs/>
                <w:color w:val="000000"/>
                <w:sz w:val="22"/>
                <w:szCs w:val="22"/>
                <w:highlight w:val="white"/>
              </w:rPr>
              <w:t>,00</w:t>
            </w:r>
          </w:p>
        </w:tc>
        <w:tc>
          <w:tcPr>
            <w:tcW w:w="1892" w:type="dxa"/>
            <w:tcBorders>
              <w:top w:val="single" w:sz="4" w:space="0" w:color="000000"/>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b/>
                <w:bCs/>
                <w:color w:val="000000"/>
                <w:spacing w:val="0"/>
                <w:sz w:val="22"/>
                <w:szCs w:val="22"/>
                <w:highlight w:val="white"/>
              </w:rPr>
              <w:t>140000,00</w:t>
            </w:r>
          </w:p>
        </w:tc>
        <w:tc>
          <w:tcPr>
            <w:tcW w:w="1895" w:type="dxa"/>
            <w:tcBorders>
              <w:top w:val="single" w:sz="4" w:space="0" w:color="000000"/>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b/>
                <w:bCs/>
                <w:color w:val="000000"/>
                <w:sz w:val="22"/>
                <w:szCs w:val="22"/>
                <w:highlight w:val="white"/>
                <w:lang w:val="en-US"/>
              </w:rPr>
              <w:t>140000,00</w:t>
            </w:r>
          </w:p>
        </w:tc>
        <w:tc>
          <w:tcPr>
            <w:tcW w:w="1888" w:type="dxa"/>
            <w:tcBorders>
              <w:top w:val="single" w:sz="4" w:space="0" w:color="000000"/>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b/>
                <w:bCs/>
                <w:color w:val="000000"/>
                <w:sz w:val="22"/>
                <w:szCs w:val="22"/>
                <w:highlight w:val="white"/>
                <w:lang w:val="en-US"/>
              </w:rPr>
              <w:t>140000,00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rFonts w:ascii="Times New Roman" w:hAnsi="Times New Roman"/>
                <w:sz w:val="22"/>
                <w:szCs w:val="22"/>
              </w:rPr>
            </w:pPr>
            <w:r>
              <w:rPr>
                <w:color w:val="000000"/>
                <w:sz w:val="22"/>
                <w:szCs w:val="22"/>
                <w:highlight w:val="white"/>
              </w:rPr>
              <w:t>Бюджет муниципального  округа «Вуктыл», из них за счет средств:</w:t>
            </w:r>
          </w:p>
        </w:tc>
        <w:tc>
          <w:tcPr>
            <w:tcW w:w="1892"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lang w:val="ru-RU"/>
              </w:rPr>
              <w:t>420000</w:t>
            </w:r>
            <w:r>
              <w:rPr>
                <w:color w:val="000000"/>
                <w:sz w:val="22"/>
                <w:szCs w:val="22"/>
                <w:highlight w:val="white"/>
              </w:rPr>
              <w:t>,00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140000,00</w:t>
            </w:r>
          </w:p>
        </w:tc>
        <w:tc>
          <w:tcPr>
            <w:tcW w:w="1895"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lang w:val="en-US"/>
              </w:rPr>
              <w:t>140000,00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lang w:val="en-US"/>
              </w:rPr>
              <w:t>140000,00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rFonts w:ascii="Times New Roman" w:hAnsi="Times New Roman"/>
                <w:sz w:val="22"/>
                <w:szCs w:val="22"/>
              </w:rPr>
            </w:pPr>
            <w:r>
              <w:rPr>
                <w:color w:val="000000"/>
                <w:sz w:val="22"/>
                <w:szCs w:val="22"/>
                <w:highlight w:val="white"/>
              </w:rPr>
              <w:t>Местного бюджета</w:t>
            </w:r>
          </w:p>
        </w:tc>
        <w:tc>
          <w:tcPr>
            <w:tcW w:w="1892"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lang w:val="ru-RU"/>
              </w:rPr>
              <w:t>420000</w:t>
            </w:r>
            <w:r>
              <w:rPr>
                <w:color w:val="000000"/>
                <w:sz w:val="22"/>
                <w:szCs w:val="22"/>
                <w:highlight w:val="white"/>
              </w:rPr>
              <w:t>,00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140000,00</w:t>
            </w:r>
          </w:p>
        </w:tc>
        <w:tc>
          <w:tcPr>
            <w:tcW w:w="1895"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lang w:val="en-US"/>
              </w:rPr>
              <w:t>140000,00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lang w:val="en-US"/>
              </w:rPr>
              <w:t>140000,00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rFonts w:ascii="Times New Roman" w:hAnsi="Times New Roman"/>
                <w:sz w:val="22"/>
                <w:szCs w:val="22"/>
              </w:rPr>
            </w:pPr>
            <w:r>
              <w:rPr>
                <w:color w:val="000000"/>
                <w:sz w:val="22"/>
                <w:szCs w:val="22"/>
                <w:highlight w:val="white"/>
              </w:rPr>
              <w:t>Федерального бюджета Российской Федерации</w:t>
            </w:r>
          </w:p>
        </w:tc>
        <w:tc>
          <w:tcPr>
            <w:tcW w:w="1892"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rFonts w:ascii="Times New Roman" w:hAnsi="Times New Roman"/>
                <w:sz w:val="22"/>
                <w:szCs w:val="22"/>
              </w:rPr>
            </w:pPr>
            <w:r>
              <w:rPr>
                <w:color w:val="000000"/>
                <w:sz w:val="22"/>
                <w:szCs w:val="22"/>
                <w:highlight w:val="white"/>
              </w:rPr>
              <w:t>Республиканского бюджета Республики Коми</w:t>
            </w:r>
          </w:p>
        </w:tc>
        <w:tc>
          <w:tcPr>
            <w:tcW w:w="1892"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before="0" w:after="0"/>
              <w:jc w:val="both"/>
              <w:rPr>
                <w:rFonts w:ascii="Times New Roman" w:hAnsi="Times New Roman"/>
                <w:sz w:val="22"/>
                <w:szCs w:val="22"/>
              </w:rPr>
            </w:pPr>
            <w:r>
              <w:rPr>
                <w:color w:val="000000"/>
                <w:sz w:val="22"/>
                <w:szCs w:val="22"/>
                <w:highlight w:val="white"/>
              </w:rPr>
              <w:t>Юридические лица</w:t>
            </w:r>
          </w:p>
        </w:tc>
        <w:tc>
          <w:tcPr>
            <w:tcW w:w="1892"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rFonts w:ascii="Times New Roman" w:hAnsi="Times New Roman"/>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before="0" w:after="0"/>
              <w:jc w:val="both"/>
              <w:rPr>
                <w:rFonts w:ascii="Times New Roman" w:hAnsi="Times New Roman"/>
                <w:sz w:val="22"/>
                <w:szCs w:val="22"/>
              </w:rPr>
            </w:pPr>
            <w:r>
              <w:rPr>
                <w:color w:val="000000"/>
                <w:sz w:val="22"/>
                <w:szCs w:val="22"/>
                <w:highlight w:val="white"/>
              </w:rPr>
              <w:t>Средства от приносящей доход деятельности</w:t>
            </w:r>
          </w:p>
        </w:tc>
        <w:tc>
          <w:tcPr>
            <w:tcW w:w="1892"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rFonts w:ascii="Times New Roman" w:hAnsi="Times New Roman"/>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rFonts w:ascii="Times New Roman" w:hAnsi="Times New Roman"/>
                <w:sz w:val="22"/>
                <w:szCs w:val="22"/>
              </w:rPr>
            </w:pPr>
            <w:r>
              <w:rPr>
                <w:color w:val="000000"/>
                <w:sz w:val="22"/>
                <w:szCs w:val="22"/>
                <w:highlight w:val="white"/>
              </w:rPr>
              <w:t>0,00</w:t>
            </w:r>
          </w:p>
        </w:tc>
      </w:tr>
    </w:tbl>
    <w:p>
      <w:pPr>
        <w:pStyle w:val="BodyText"/>
        <w:jc w:val="right"/>
        <w:rPr>
          <w:rFonts w:ascii="Times New Roman" w:hAnsi="Times New Roman"/>
          <w:sz w:val="24"/>
          <w:szCs w:val="24"/>
        </w:rPr>
      </w:pPr>
      <w:r>
        <w:rPr>
          <w:sz w:val="24"/>
          <w:szCs w:val="24"/>
        </w:rPr>
        <w:t>»;</w:t>
      </w:r>
    </w:p>
    <w:p>
      <w:pPr>
        <w:pStyle w:val="BodyText"/>
        <w:widowControl/>
        <w:suppressAutoHyphens w:val="false"/>
        <w:overflowPunct w:val="false"/>
        <w:bidi w:val="0"/>
        <w:spacing w:before="0" w:after="0"/>
        <w:ind w:hanging="0" w:left="709" w:right="0"/>
        <w:jc w:val="both"/>
        <w:rPr>
          <w:rFonts w:ascii="Times New Roman" w:hAnsi="Times New Roman"/>
          <w:sz w:val="24"/>
          <w:szCs w:val="24"/>
        </w:rPr>
      </w:pPr>
      <w:r>
        <w:rPr>
          <w:sz w:val="24"/>
          <w:szCs w:val="24"/>
        </w:rPr>
        <w:t>в) позиции 18, 19 изложить в следующей редакции:</w:t>
      </w:r>
    </w:p>
    <w:p>
      <w:pPr>
        <w:pStyle w:val="BodyText"/>
        <w:jc w:val="both"/>
        <w:rPr>
          <w:rFonts w:ascii="Times New Roman" w:hAnsi="Times New Roman"/>
          <w:sz w:val="24"/>
          <w:szCs w:val="24"/>
        </w:rPr>
      </w:pPr>
      <w:r>
        <w:rPr>
          <w:sz w:val="24"/>
          <w:szCs w:val="24"/>
        </w:rPr>
        <w:t>«</w:t>
      </w:r>
    </w:p>
    <w:tbl>
      <w:tblPr>
        <w:tblW w:w="5000" w:type="pct"/>
        <w:jc w:val="left"/>
        <w:tblInd w:w="55" w:type="dxa"/>
        <w:tblLayout w:type="fixed"/>
        <w:tblCellMar>
          <w:top w:w="55" w:type="dxa"/>
          <w:left w:w="55" w:type="dxa"/>
          <w:bottom w:w="55" w:type="dxa"/>
          <w:right w:w="55" w:type="dxa"/>
        </w:tblCellMar>
      </w:tblPr>
      <w:tblGrid>
        <w:gridCol w:w="617"/>
        <w:gridCol w:w="1883"/>
        <w:gridCol w:w="2599"/>
        <w:gridCol w:w="2469"/>
        <w:gridCol w:w="1892"/>
        <w:gridCol w:w="1892"/>
        <w:gridCol w:w="1895"/>
        <w:gridCol w:w="1888"/>
      </w:tblGrid>
      <w:tr>
        <w:trPr/>
        <w:tc>
          <w:tcPr>
            <w:tcW w:w="617" w:type="dxa"/>
            <w:vMerge w:val="restart"/>
            <w:tcBorders>
              <w:top w:val="single" w:sz="4" w:space="0" w:color="000000"/>
              <w:left w:val="single" w:sz="4" w:space="0" w:color="000000"/>
              <w:bottom w:val="single" w:sz="4" w:space="0" w:color="000000"/>
            </w:tcBorders>
          </w:tcPr>
          <w:p>
            <w:pPr>
              <w:pStyle w:val="ConsPlusCell"/>
              <w:widowControl w:val="false"/>
              <w:spacing w:before="57" w:after="57"/>
              <w:jc w:val="center"/>
              <w:rPr>
                <w:sz w:val="22"/>
                <w:szCs w:val="22"/>
              </w:rPr>
            </w:pPr>
            <w:r>
              <w:rPr>
                <w:b w:val="false"/>
                <w:bCs w:val="false"/>
                <w:color w:val="000000"/>
                <w:sz w:val="22"/>
                <w:szCs w:val="22"/>
                <w:highlight w:val="white"/>
              </w:rPr>
              <w:t>18.</w:t>
            </w:r>
          </w:p>
        </w:tc>
        <w:tc>
          <w:tcPr>
            <w:tcW w:w="1883" w:type="dxa"/>
            <w:vMerge w:val="restart"/>
            <w:tcBorders>
              <w:top w:val="single" w:sz="4" w:space="0" w:color="000000"/>
              <w:left w:val="single" w:sz="4" w:space="0" w:color="000000"/>
              <w:bottom w:val="single" w:sz="4" w:space="0" w:color="000000"/>
            </w:tcBorders>
          </w:tcPr>
          <w:p>
            <w:pPr>
              <w:pStyle w:val="ConsPlusCell"/>
              <w:widowControl w:val="false"/>
              <w:suppressAutoHyphens w:val="false"/>
              <w:bidi w:val="0"/>
              <w:spacing w:before="57" w:after="57"/>
              <w:jc w:val="both"/>
              <w:rPr>
                <w:sz w:val="22"/>
                <w:szCs w:val="22"/>
              </w:rPr>
            </w:pPr>
            <w:r>
              <w:rPr>
                <w:b/>
                <w:bCs/>
                <w:color w:val="000000"/>
                <w:sz w:val="22"/>
                <w:szCs w:val="22"/>
                <w:highlight w:val="white"/>
              </w:rPr>
              <w:t>Подпрограмма 3</w:t>
            </w:r>
          </w:p>
        </w:tc>
        <w:tc>
          <w:tcPr>
            <w:tcW w:w="2599" w:type="dxa"/>
            <w:vMerge w:val="restart"/>
            <w:tcBorders>
              <w:top w:val="single" w:sz="4" w:space="0" w:color="000000"/>
              <w:left w:val="single" w:sz="4" w:space="0" w:color="000000"/>
              <w:bottom w:val="single" w:sz="4" w:space="0" w:color="000000"/>
            </w:tcBorders>
          </w:tcPr>
          <w:p>
            <w:pPr>
              <w:pStyle w:val="Normal"/>
              <w:widowControl w:val="false"/>
              <w:suppressAutoHyphens w:val="false"/>
              <w:bidi w:val="0"/>
              <w:spacing w:before="57" w:after="57"/>
              <w:jc w:val="both"/>
              <w:rPr>
                <w:sz w:val="22"/>
                <w:szCs w:val="22"/>
              </w:rPr>
            </w:pPr>
            <w:r>
              <w:rPr>
                <w:b/>
                <w:bCs/>
                <w:color w:val="000000"/>
                <w:sz w:val="22"/>
                <w:szCs w:val="22"/>
                <w:highlight w:val="white"/>
              </w:rPr>
              <w:t>«Содействие занятости населения»</w:t>
            </w:r>
          </w:p>
        </w:tc>
        <w:tc>
          <w:tcPr>
            <w:tcW w:w="2469" w:type="dxa"/>
            <w:tcBorders>
              <w:top w:val="single" w:sz="4" w:space="0" w:color="000000"/>
              <w:left w:val="single" w:sz="4" w:space="0" w:color="000000"/>
              <w:bottom w:val="single" w:sz="4" w:space="0" w:color="000000"/>
            </w:tcBorders>
          </w:tcPr>
          <w:p>
            <w:pPr>
              <w:pStyle w:val="ConsPlusCell"/>
              <w:widowControl w:val="false"/>
              <w:spacing w:before="0" w:after="0"/>
              <w:jc w:val="both"/>
              <w:rPr>
                <w:sz w:val="22"/>
                <w:szCs w:val="22"/>
              </w:rPr>
            </w:pPr>
            <w:r>
              <w:rPr>
                <w:b/>
                <w:bCs/>
                <w:color w:val="000000"/>
                <w:sz w:val="22"/>
                <w:szCs w:val="22"/>
                <w:highlight w:val="white"/>
              </w:rPr>
              <w:t>Всего, в том числе:</w:t>
            </w:r>
          </w:p>
        </w:tc>
        <w:tc>
          <w:tcPr>
            <w:tcW w:w="1892" w:type="dxa"/>
            <w:tcBorders>
              <w:top w:val="single" w:sz="4" w:space="0" w:color="000000"/>
              <w:left w:val="single" w:sz="4" w:space="0" w:color="000000"/>
              <w:bottom w:val="single" w:sz="4" w:space="0" w:color="000000"/>
            </w:tcBorders>
          </w:tcPr>
          <w:p>
            <w:pPr>
              <w:pStyle w:val="ConsPlusCell"/>
              <w:widowControl w:val="false"/>
              <w:spacing w:before="0" w:after="0"/>
              <w:jc w:val="center"/>
              <w:rPr>
                <w:sz w:val="22"/>
                <w:szCs w:val="22"/>
              </w:rPr>
            </w:pPr>
            <w:r>
              <w:rPr>
                <w:b/>
                <w:bCs/>
                <w:color w:val="000000"/>
                <w:sz w:val="22"/>
                <w:szCs w:val="22"/>
                <w:highlight w:val="white"/>
                <w:lang w:val="ru-RU"/>
              </w:rPr>
              <w:t>1230000</w:t>
            </w:r>
            <w:r>
              <w:rPr>
                <w:b/>
                <w:bCs/>
                <w:color w:val="000000"/>
                <w:sz w:val="22"/>
                <w:szCs w:val="22"/>
                <w:highlight w:val="white"/>
                <w:lang w:val="en-US"/>
              </w:rPr>
              <w:t>,00</w:t>
            </w:r>
          </w:p>
        </w:tc>
        <w:tc>
          <w:tcPr>
            <w:tcW w:w="1892" w:type="dxa"/>
            <w:tcBorders>
              <w:top w:val="single" w:sz="4" w:space="0" w:color="000000"/>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b/>
                <w:bCs/>
                <w:color w:val="000000"/>
                <w:spacing w:val="0"/>
                <w:sz w:val="22"/>
                <w:szCs w:val="22"/>
                <w:highlight w:val="white"/>
              </w:rPr>
              <w:t>410000,00</w:t>
            </w:r>
          </w:p>
        </w:tc>
        <w:tc>
          <w:tcPr>
            <w:tcW w:w="1895" w:type="dxa"/>
            <w:tcBorders>
              <w:top w:val="single" w:sz="4" w:space="0" w:color="000000"/>
              <w:left w:val="single" w:sz="4" w:space="0" w:color="000000"/>
              <w:bottom w:val="single" w:sz="4" w:space="0" w:color="000000"/>
            </w:tcBorders>
          </w:tcPr>
          <w:p>
            <w:pPr>
              <w:pStyle w:val="ConsPlusCell"/>
              <w:widowControl w:val="false"/>
              <w:spacing w:before="0" w:after="0"/>
              <w:jc w:val="center"/>
              <w:rPr>
                <w:sz w:val="22"/>
                <w:szCs w:val="22"/>
              </w:rPr>
            </w:pPr>
            <w:r>
              <w:rPr>
                <w:b/>
                <w:bCs/>
                <w:color w:val="000000"/>
                <w:sz w:val="22"/>
                <w:szCs w:val="22"/>
                <w:highlight w:val="white"/>
                <w:lang w:val="ru-RU"/>
              </w:rPr>
              <w:t>410000</w:t>
            </w:r>
            <w:r>
              <w:rPr>
                <w:b/>
                <w:bCs/>
                <w:color w:val="000000"/>
                <w:sz w:val="22"/>
                <w:szCs w:val="22"/>
                <w:highlight w:val="white"/>
                <w:lang w:val="en-US"/>
              </w:rPr>
              <w:t>,00</w:t>
            </w:r>
          </w:p>
        </w:tc>
        <w:tc>
          <w:tcPr>
            <w:tcW w:w="1888" w:type="dxa"/>
            <w:tcBorders>
              <w:top w:val="single" w:sz="4" w:space="0" w:color="000000"/>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b/>
                <w:bCs/>
                <w:color w:val="000000"/>
                <w:sz w:val="22"/>
                <w:szCs w:val="22"/>
                <w:highlight w:val="white"/>
                <w:lang w:val="ru-RU"/>
              </w:rPr>
              <w:t>410000</w:t>
            </w:r>
            <w:r>
              <w:rPr>
                <w:b/>
                <w:bCs/>
                <w:color w:val="000000"/>
                <w:sz w:val="22"/>
                <w:szCs w:val="22"/>
                <w:highlight w:val="white"/>
                <w:lang w:val="en-US"/>
              </w:rPr>
              <w:t>,00</w:t>
            </w:r>
          </w:p>
        </w:tc>
      </w:tr>
      <w:tr>
        <w:trPr/>
        <w:tc>
          <w:tcPr>
            <w:tcW w:w="617"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Бюджет муниципального  округа «Вуктыл», из них за счет средств:</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lang w:val="ru-RU"/>
              </w:rPr>
              <w:t>1230000</w:t>
            </w:r>
            <w:r>
              <w:rPr>
                <w:color w:val="000000"/>
                <w:sz w:val="22"/>
                <w:szCs w:val="22"/>
                <w:highlight w:val="white"/>
                <w:lang w:val="en-US"/>
              </w:rPr>
              <w:t>,00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410000,00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lang w:val="ru-RU"/>
              </w:rPr>
              <w:t>410000</w:t>
            </w:r>
            <w:r>
              <w:rPr>
                <w:color w:val="000000"/>
                <w:sz w:val="22"/>
                <w:szCs w:val="22"/>
                <w:highlight w:val="white"/>
                <w:lang w:val="en-US"/>
              </w:rPr>
              <w:t>,00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lang w:val="ru-RU"/>
              </w:rPr>
              <w:t>410000</w:t>
            </w:r>
            <w:r>
              <w:rPr>
                <w:color w:val="000000"/>
                <w:sz w:val="22"/>
                <w:szCs w:val="22"/>
                <w:highlight w:val="white"/>
                <w:lang w:val="en-US"/>
              </w:rPr>
              <w:t>,00</w:t>
            </w:r>
          </w:p>
        </w:tc>
      </w:tr>
      <w:tr>
        <w:trPr/>
        <w:tc>
          <w:tcPr>
            <w:tcW w:w="617"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Местного бюджета</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lang w:val="ru-RU"/>
              </w:rPr>
              <w:t>1230000</w:t>
            </w:r>
            <w:r>
              <w:rPr>
                <w:color w:val="000000"/>
                <w:sz w:val="22"/>
                <w:szCs w:val="22"/>
                <w:highlight w:val="white"/>
                <w:lang w:val="en-US"/>
              </w:rPr>
              <w:t>,00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410000,00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lang w:val="ru-RU"/>
              </w:rPr>
              <w:t>410000</w:t>
            </w:r>
            <w:r>
              <w:rPr>
                <w:color w:val="000000"/>
                <w:sz w:val="22"/>
                <w:szCs w:val="22"/>
                <w:highlight w:val="white"/>
                <w:lang w:val="en-US"/>
              </w:rPr>
              <w:t>,00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lang w:val="ru-RU"/>
              </w:rPr>
              <w:t>410000</w:t>
            </w:r>
            <w:r>
              <w:rPr>
                <w:color w:val="000000"/>
                <w:sz w:val="22"/>
                <w:szCs w:val="22"/>
                <w:highlight w:val="white"/>
                <w:lang w:val="en-US"/>
              </w:rPr>
              <w:t>,00</w:t>
            </w:r>
          </w:p>
        </w:tc>
      </w:tr>
      <w:tr>
        <w:trPr/>
        <w:tc>
          <w:tcPr>
            <w:tcW w:w="617"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Федерального бюджета Российской Федерации</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Республиканского бюджета Республики Коми</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before="0" w:after="0"/>
              <w:jc w:val="both"/>
              <w:rPr>
                <w:sz w:val="22"/>
                <w:szCs w:val="22"/>
              </w:rPr>
            </w:pPr>
            <w:r>
              <w:rPr>
                <w:color w:val="000000"/>
                <w:sz w:val="22"/>
                <w:szCs w:val="22"/>
                <w:highlight w:val="white"/>
              </w:rPr>
              <w:t>Юридические лица</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r>
        <w:trPr/>
        <w:tc>
          <w:tcPr>
            <w:tcW w:w="617"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top w:val="single" w:sz="4" w:space="0" w:color="000000"/>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before="0" w:after="0"/>
              <w:jc w:val="both"/>
              <w:rPr>
                <w:sz w:val="22"/>
                <w:szCs w:val="22"/>
              </w:rPr>
            </w:pPr>
            <w:r>
              <w:rPr>
                <w:color w:val="000000"/>
                <w:sz w:val="22"/>
                <w:szCs w:val="22"/>
                <w:highlight w:val="white"/>
              </w:rPr>
              <w:t>Средства от приносящей доход деятельности</w:t>
            </w:r>
          </w:p>
        </w:tc>
        <w:tc>
          <w:tcPr>
            <w:tcW w:w="1892" w:type="dxa"/>
            <w:tcBorders>
              <w:left w:val="single" w:sz="4" w:space="0" w:color="000000"/>
              <w:bottom w:val="single" w:sz="4" w:space="0" w:color="000000"/>
            </w:tcBorders>
          </w:tcPr>
          <w:p>
            <w:pPr>
              <w:pStyle w:val="ConsPlusCell"/>
              <w:widowControl w:val="false"/>
              <w:spacing w:before="57" w:after="57"/>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57" w:after="57"/>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57" w:after="57"/>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57" w:after="57"/>
              <w:jc w:val="center"/>
              <w:rPr>
                <w:sz w:val="22"/>
                <w:szCs w:val="22"/>
              </w:rPr>
            </w:pPr>
            <w:r>
              <w:rPr>
                <w:color w:val="000000"/>
                <w:sz w:val="22"/>
                <w:szCs w:val="22"/>
                <w:highlight w:val="white"/>
              </w:rPr>
              <w:t>0,00</w:t>
            </w:r>
          </w:p>
        </w:tc>
      </w:tr>
      <w:tr>
        <w:trPr/>
        <w:tc>
          <w:tcPr>
            <w:tcW w:w="617" w:type="dxa"/>
            <w:vMerge w:val="restart"/>
            <w:tcBorders>
              <w:left w:val="single" w:sz="4" w:space="0" w:color="000000"/>
              <w:bottom w:val="single" w:sz="4" w:space="0" w:color="000000"/>
            </w:tcBorders>
          </w:tcPr>
          <w:p>
            <w:pPr>
              <w:pStyle w:val="ConsPlusCell"/>
              <w:widowControl w:val="false"/>
              <w:spacing w:before="57" w:after="57"/>
              <w:jc w:val="center"/>
              <w:rPr>
                <w:sz w:val="22"/>
                <w:szCs w:val="22"/>
              </w:rPr>
            </w:pPr>
            <w:r>
              <w:rPr>
                <w:color w:val="000000"/>
                <w:sz w:val="22"/>
                <w:szCs w:val="22"/>
                <w:highlight w:val="white"/>
              </w:rPr>
              <w:t>19.</w:t>
            </w:r>
          </w:p>
        </w:tc>
        <w:tc>
          <w:tcPr>
            <w:tcW w:w="1883" w:type="dxa"/>
            <w:vMerge w:val="restart"/>
            <w:tcBorders>
              <w:left w:val="single" w:sz="4" w:space="0" w:color="000000"/>
              <w:bottom w:val="single" w:sz="4" w:space="0" w:color="000000"/>
            </w:tcBorders>
          </w:tcPr>
          <w:p>
            <w:pPr>
              <w:pStyle w:val="ConsPlusCell"/>
              <w:widowControl w:val="false"/>
              <w:spacing w:before="57" w:after="57"/>
              <w:jc w:val="both"/>
              <w:rPr>
                <w:sz w:val="22"/>
                <w:szCs w:val="22"/>
              </w:rPr>
            </w:pPr>
            <w:r>
              <w:rPr>
                <w:color w:val="000000"/>
                <w:sz w:val="22"/>
                <w:szCs w:val="22"/>
                <w:highlight w:val="white"/>
              </w:rPr>
              <w:t>Основное</w:t>
            </w:r>
          </w:p>
          <w:p>
            <w:pPr>
              <w:pStyle w:val="ConsPlusCell"/>
              <w:widowControl w:val="false"/>
              <w:spacing w:before="57" w:after="57"/>
              <w:jc w:val="both"/>
              <w:rPr>
                <w:sz w:val="22"/>
                <w:szCs w:val="22"/>
              </w:rPr>
            </w:pPr>
            <w:r>
              <w:rPr>
                <w:color w:val="000000"/>
                <w:sz w:val="22"/>
                <w:szCs w:val="22"/>
                <w:highlight w:val="white"/>
              </w:rPr>
              <w:t>мероприятие 1.1.</w:t>
            </w:r>
          </w:p>
        </w:tc>
        <w:tc>
          <w:tcPr>
            <w:tcW w:w="2599" w:type="dxa"/>
            <w:vMerge w:val="restart"/>
            <w:tcBorders>
              <w:left w:val="single" w:sz="4" w:space="0" w:color="000000"/>
              <w:bottom w:val="single" w:sz="4" w:space="0" w:color="000000"/>
            </w:tcBorders>
          </w:tcPr>
          <w:p>
            <w:pPr>
              <w:pStyle w:val="ConsPlusCell"/>
              <w:widowControl w:val="false"/>
              <w:suppressAutoHyphens w:val="false"/>
              <w:spacing w:before="57" w:after="57"/>
              <w:jc w:val="both"/>
              <w:rPr>
                <w:sz w:val="22"/>
                <w:szCs w:val="22"/>
              </w:rPr>
            </w:pPr>
            <w:r>
              <w:rPr>
                <w:color w:val="000000"/>
                <w:sz w:val="22"/>
                <w:szCs w:val="22"/>
                <w:highlight w:val="white"/>
              </w:rPr>
              <w:t>Реализация социально-значимых проектов в рамках проекта «Народный бюджет»</w:t>
            </w:r>
          </w:p>
        </w:tc>
        <w:tc>
          <w:tcPr>
            <w:tcW w:w="2469" w:type="dxa"/>
            <w:tcBorders>
              <w:left w:val="single" w:sz="4" w:space="0" w:color="000000"/>
              <w:bottom w:val="single" w:sz="4" w:space="0" w:color="000000"/>
            </w:tcBorders>
          </w:tcPr>
          <w:p>
            <w:pPr>
              <w:pStyle w:val="ConsPlusCell"/>
              <w:widowControl w:val="false"/>
              <w:spacing w:before="0" w:after="0"/>
              <w:jc w:val="both"/>
              <w:rPr>
                <w:sz w:val="22"/>
                <w:szCs w:val="22"/>
              </w:rPr>
            </w:pPr>
            <w:r>
              <w:rPr>
                <w:b/>
                <w:bCs/>
                <w:color w:val="000000"/>
                <w:sz w:val="22"/>
                <w:szCs w:val="22"/>
                <w:highlight w:val="white"/>
              </w:rPr>
              <w:t>Всего, в том числе:</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b/>
                <w:bCs/>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b/>
                <w:bCs/>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b/>
                <w:bCs/>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b/>
                <w:bCs/>
                <w:color w:val="000000"/>
                <w:sz w:val="22"/>
                <w:szCs w:val="22"/>
                <w:highlight w:val="white"/>
                <w:lang w:val="en-US"/>
              </w:rPr>
              <w:t>0,00</w:t>
            </w:r>
          </w:p>
        </w:tc>
      </w:tr>
      <w:tr>
        <w:trPr/>
        <w:tc>
          <w:tcPr>
            <w:tcW w:w="617" w:type="dxa"/>
            <w:vMerge w:val="continue"/>
            <w:tcBorders>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Бюджет муниципального  округа «Вуктыл», из них за счет средств:</w:t>
            </w:r>
          </w:p>
        </w:tc>
        <w:tc>
          <w:tcPr>
            <w:tcW w:w="1892" w:type="dxa"/>
            <w:tcBorders>
              <w:left w:val="single" w:sz="4" w:space="0" w:color="000000"/>
              <w:bottom w:val="single" w:sz="4" w:space="0" w:color="000000"/>
            </w:tcBorders>
          </w:tcPr>
          <w:p>
            <w:pPr>
              <w:pStyle w:val="ConsPlusCell"/>
              <w:widowControl w:val="false"/>
              <w:spacing w:before="57" w:after="57"/>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57" w:after="57"/>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57" w:after="57"/>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57" w:after="57"/>
              <w:jc w:val="center"/>
              <w:rPr>
                <w:sz w:val="22"/>
                <w:szCs w:val="22"/>
              </w:rPr>
            </w:pPr>
            <w:r>
              <w:rPr>
                <w:color w:val="000000"/>
                <w:sz w:val="22"/>
                <w:szCs w:val="22"/>
                <w:highlight w:val="white"/>
                <w:lang w:val="en-US"/>
              </w:rPr>
              <w:t>0,00</w:t>
            </w:r>
          </w:p>
          <w:p>
            <w:pPr>
              <w:pStyle w:val="ConsPlusCell"/>
              <w:widowControl w:val="false"/>
              <w:spacing w:before="57" w:after="57"/>
              <w:jc w:val="center"/>
              <w:rPr>
                <w:rFonts w:ascii="Times New Roman" w:hAnsi="Times New Roman"/>
                <w:color w:val="00000A"/>
                <w:sz w:val="22"/>
                <w:szCs w:val="22"/>
                <w:highlight w:val="white"/>
              </w:rPr>
            </w:pPr>
            <w:r>
              <w:rPr>
                <w:color w:val="00000A"/>
                <w:sz w:val="22"/>
                <w:szCs w:val="22"/>
                <w:highlight w:val="white"/>
              </w:rPr>
            </w:r>
          </w:p>
        </w:tc>
      </w:tr>
      <w:tr>
        <w:trPr/>
        <w:tc>
          <w:tcPr>
            <w:tcW w:w="617" w:type="dxa"/>
            <w:vMerge w:val="continue"/>
            <w:tcBorders>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Местного бюджета</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lang w:val="en-US"/>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lang w:val="en-US"/>
              </w:rPr>
              <w:t>0,00</w:t>
            </w:r>
          </w:p>
        </w:tc>
      </w:tr>
      <w:tr>
        <w:trPr/>
        <w:tc>
          <w:tcPr>
            <w:tcW w:w="617" w:type="dxa"/>
            <w:vMerge w:val="continue"/>
            <w:tcBorders>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Федерального бюджета Российской Федерации</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ConsPlusCell"/>
              <w:widowControl w:val="false"/>
              <w:suppressAutoHyphens w:val="false"/>
              <w:bidi w:val="0"/>
              <w:spacing w:before="0" w:after="0"/>
              <w:jc w:val="both"/>
              <w:rPr>
                <w:sz w:val="22"/>
                <w:szCs w:val="22"/>
              </w:rPr>
            </w:pPr>
            <w:r>
              <w:rPr>
                <w:color w:val="000000"/>
                <w:sz w:val="22"/>
                <w:szCs w:val="22"/>
                <w:highlight w:val="white"/>
              </w:rPr>
              <w:t>Республиканского бюджета Республики Коми</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before="0" w:after="0"/>
              <w:jc w:val="both"/>
              <w:rPr>
                <w:sz w:val="22"/>
                <w:szCs w:val="22"/>
              </w:rPr>
            </w:pPr>
            <w:r>
              <w:rPr>
                <w:color w:val="000000"/>
                <w:sz w:val="22"/>
                <w:szCs w:val="22"/>
                <w:highlight w:val="white"/>
              </w:rPr>
              <w:t>Юридические лица</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r>
        <w:trPr/>
        <w:tc>
          <w:tcPr>
            <w:tcW w:w="617" w:type="dxa"/>
            <w:vMerge w:val="continue"/>
            <w:tcBorders>
              <w:left w:val="single" w:sz="4" w:space="0" w:color="000000"/>
              <w:bottom w:val="single" w:sz="4" w:space="0" w:color="000000"/>
            </w:tcBorders>
          </w:tcPr>
          <w:p>
            <w:pPr>
              <w:pStyle w:val="Normal"/>
              <w:rPr>
                <w:sz w:val="22"/>
                <w:szCs w:val="22"/>
              </w:rPr>
            </w:pPr>
            <w:r>
              <w:rPr>
                <w:sz w:val="22"/>
                <w:szCs w:val="22"/>
              </w:rPr>
            </w:r>
          </w:p>
        </w:tc>
        <w:tc>
          <w:tcPr>
            <w:tcW w:w="1883" w:type="dxa"/>
            <w:vMerge w:val="continue"/>
            <w:tcBorders>
              <w:left w:val="single" w:sz="4" w:space="0" w:color="000000"/>
              <w:bottom w:val="single" w:sz="4" w:space="0" w:color="000000"/>
            </w:tcBorders>
          </w:tcPr>
          <w:p>
            <w:pPr>
              <w:pStyle w:val="Normal"/>
              <w:rPr>
                <w:sz w:val="22"/>
                <w:szCs w:val="22"/>
              </w:rPr>
            </w:pPr>
            <w:r>
              <w:rPr>
                <w:sz w:val="22"/>
                <w:szCs w:val="22"/>
              </w:rPr>
            </w:r>
          </w:p>
        </w:tc>
        <w:tc>
          <w:tcPr>
            <w:tcW w:w="2599" w:type="dxa"/>
            <w:vMerge w:val="continue"/>
            <w:tcBorders>
              <w:left w:val="single" w:sz="4" w:space="0" w:color="000000"/>
              <w:bottom w:val="single" w:sz="4" w:space="0" w:color="000000"/>
            </w:tcBorders>
          </w:tcPr>
          <w:p>
            <w:pPr>
              <w:pStyle w:val="Normal"/>
              <w:rPr>
                <w:sz w:val="22"/>
                <w:szCs w:val="22"/>
              </w:rPr>
            </w:pPr>
            <w:r>
              <w:rPr>
                <w:sz w:val="22"/>
                <w:szCs w:val="22"/>
              </w:rPr>
            </w:r>
          </w:p>
        </w:tc>
        <w:tc>
          <w:tcPr>
            <w:tcW w:w="2469" w:type="dxa"/>
            <w:tcBorders>
              <w:left w:val="single" w:sz="4" w:space="0" w:color="000000"/>
              <w:bottom w:val="single" w:sz="4" w:space="0" w:color="000000"/>
            </w:tcBorders>
          </w:tcPr>
          <w:p>
            <w:pPr>
              <w:pStyle w:val="Normal"/>
              <w:widowControl w:val="false"/>
              <w:suppressAutoHyphens w:val="false"/>
              <w:bidi w:val="0"/>
              <w:spacing w:before="0" w:after="0"/>
              <w:jc w:val="both"/>
              <w:rPr>
                <w:sz w:val="22"/>
                <w:szCs w:val="22"/>
              </w:rPr>
            </w:pPr>
            <w:r>
              <w:rPr>
                <w:color w:val="000000"/>
                <w:sz w:val="22"/>
                <w:szCs w:val="22"/>
                <w:highlight w:val="white"/>
              </w:rPr>
              <w:t>Средства от приносящей доход деятельности</w:t>
            </w:r>
          </w:p>
        </w:tc>
        <w:tc>
          <w:tcPr>
            <w:tcW w:w="1892"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92" w:type="dxa"/>
            <w:tcBorders>
              <w:left w:val="single" w:sz="4" w:space="0" w:color="000000"/>
              <w:bottom w:val="single" w:sz="4" w:space="0" w:color="000000"/>
            </w:tcBorders>
          </w:tcPr>
          <w:p>
            <w:pPr>
              <w:pStyle w:val="Normal"/>
              <w:widowControl w:val="false"/>
              <w:spacing w:lineRule="exact" w:line="240" w:before="0" w:after="0"/>
              <w:ind w:hanging="0" w:left="0" w:right="0"/>
              <w:jc w:val="center"/>
              <w:rPr>
                <w:sz w:val="22"/>
                <w:szCs w:val="22"/>
              </w:rPr>
            </w:pPr>
            <w:r>
              <w:rPr>
                <w:rFonts w:eastAsia="Arial" w:cs="Arial"/>
                <w:color w:val="000000"/>
                <w:spacing w:val="0"/>
                <w:sz w:val="22"/>
                <w:szCs w:val="22"/>
                <w:highlight w:val="white"/>
              </w:rPr>
              <w:t>0,00</w:t>
            </w:r>
          </w:p>
        </w:tc>
        <w:tc>
          <w:tcPr>
            <w:tcW w:w="1895" w:type="dxa"/>
            <w:tcBorders>
              <w:left w:val="single" w:sz="4" w:space="0" w:color="000000"/>
              <w:bottom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c>
          <w:tcPr>
            <w:tcW w:w="1888" w:type="dxa"/>
            <w:tcBorders>
              <w:left w:val="single" w:sz="4" w:space="0" w:color="000000"/>
              <w:bottom w:val="single" w:sz="4" w:space="0" w:color="000000"/>
              <w:right w:val="single" w:sz="4" w:space="0" w:color="000000"/>
            </w:tcBorders>
          </w:tcPr>
          <w:p>
            <w:pPr>
              <w:pStyle w:val="ConsPlusCell"/>
              <w:widowControl w:val="false"/>
              <w:spacing w:before="0" w:after="0"/>
              <w:jc w:val="center"/>
              <w:rPr>
                <w:sz w:val="22"/>
                <w:szCs w:val="22"/>
              </w:rPr>
            </w:pPr>
            <w:r>
              <w:rPr>
                <w:color w:val="000000"/>
                <w:sz w:val="22"/>
                <w:szCs w:val="22"/>
                <w:highlight w:val="white"/>
              </w:rPr>
              <w:t>0,00</w:t>
            </w:r>
          </w:p>
        </w:tc>
      </w:tr>
    </w:tbl>
    <w:p>
      <w:pPr>
        <w:pStyle w:val="BodyText"/>
        <w:jc w:val="right"/>
        <w:rPr/>
      </w:pPr>
      <w:r>
        <w:rPr/>
        <w:t>».</w:t>
      </w:r>
    </w:p>
    <w:sectPr>
      <w:type w:val="nextPage"/>
      <w:pgSz w:orient="landscape" w:w="16838" w:h="11906"/>
      <w:pgMar w:left="850" w:right="851" w:gutter="0" w:header="0" w:top="1559" w:footer="0" w:bottom="1559"/>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Garamond">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s>
</file>

<file path=word/settings.xml><?xml version="1.0" encoding="utf-8"?>
<w:settings xmlns:w="http://schemas.openxmlformats.org/wordprocessingml/2006/main">
  <w:zoom w:percent="90"/>
  <w:displayBackgroundShape/>
  <w:mirrorMargins/>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Heading1">
    <w:name w:val="Heading 1"/>
    <w:basedOn w:val="Normal"/>
    <w:next w:val="Normal"/>
    <w:qFormat/>
    <w:pPr>
      <w:keepNext w:val="true"/>
      <w:spacing w:before="240" w:after="60"/>
      <w:outlineLvl w:val="0"/>
    </w:pPr>
    <w:rPr>
      <w:rFonts w:ascii="Arial" w:hAnsi="Arial" w:cs="Arial"/>
      <w:b/>
      <w:bCs/>
      <w:sz w:val="32"/>
      <w:szCs w:val="32"/>
      <w:lang w:val="ru-RU"/>
    </w:rPr>
  </w:style>
  <w:style w:type="paragraph" w:styleId="Heading2">
    <w:name w:val="Heading 2"/>
    <w:basedOn w:val="Normal"/>
    <w:next w:val="Normal"/>
    <w:qFormat/>
    <w:pPr>
      <w:keepNext w:val="true"/>
      <w:outlineLvl w:val="1"/>
    </w:pPr>
    <w:rPr>
      <w:szCs w:val="20"/>
      <w:lang w:val="ru-RU"/>
    </w:rPr>
  </w:style>
  <w:style w:type="paragraph" w:styleId="Heading3">
    <w:name w:val="Heading 3"/>
    <w:basedOn w:val="Normal"/>
    <w:qFormat/>
    <w:pPr>
      <w:keepNext w:val="true"/>
      <w:keepLines/>
      <w:spacing w:lineRule="atLeast" w:line="240" w:before="0" w:after="240"/>
      <w:outlineLvl w:val="2"/>
    </w:pPr>
    <w:rPr>
      <w:rFonts w:ascii="Garamond" w:hAnsi="Garamond" w:cs="Garamond"/>
      <w:i/>
      <w:sz w:val="22"/>
      <w:szCs w:val="20"/>
      <w:lang w:val="ru-RU"/>
    </w:rPr>
  </w:style>
  <w:style w:type="paragraph" w:styleId="Heading4">
    <w:name w:val="Heading 4"/>
    <w:basedOn w:val="Normal"/>
    <w:qFormat/>
    <w:pPr>
      <w:keepNext w:val="true"/>
      <w:keepLines/>
      <w:spacing w:lineRule="atLeast" w:line="240"/>
      <w:outlineLvl w:val="3"/>
    </w:pPr>
    <w:rPr>
      <w:rFonts w:ascii="Garamond" w:hAnsi="Garamond" w:cs="Garamond"/>
      <w:caps/>
      <w:sz w:val="18"/>
      <w:szCs w:val="20"/>
      <w:lang w:val="ru-RU"/>
    </w:rPr>
  </w:style>
  <w:style w:type="paragraph" w:styleId="Heading5">
    <w:name w:val="Heading 5"/>
    <w:basedOn w:val="Normal"/>
    <w:qFormat/>
    <w:pPr>
      <w:keepNext w:val="true"/>
      <w:keepLines/>
      <w:spacing w:lineRule="atLeast" w:line="240"/>
      <w:outlineLvl w:val="4"/>
    </w:pPr>
    <w:rPr>
      <w:rFonts w:ascii="Garamond" w:hAnsi="Garamond" w:cs="Garamond"/>
      <w:sz w:val="22"/>
      <w:szCs w:val="20"/>
      <w:lang w:val="ru-RU"/>
    </w:rPr>
  </w:style>
  <w:style w:type="paragraph" w:styleId="Heading6">
    <w:name w:val="Heading 6"/>
    <w:basedOn w:val="Normal"/>
    <w:next w:val="Normal"/>
    <w:qFormat/>
    <w:pPr>
      <w:spacing w:before="240" w:after="60"/>
      <w:outlineLvl w:val="5"/>
    </w:pPr>
    <w:rPr>
      <w:b/>
      <w:bCs/>
      <w:sz w:val="22"/>
      <w:szCs w:val="22"/>
      <w:lang w:val="ru-RU"/>
    </w:rPr>
  </w:style>
  <w:style w:type="paragraph" w:styleId="Heading7">
    <w:name w:val="Heading 7"/>
    <w:basedOn w:val="Normal"/>
    <w:next w:val="Normal"/>
    <w:qFormat/>
    <w:pPr>
      <w:spacing w:before="240" w:after="60"/>
      <w:outlineLvl w:val="6"/>
    </w:pPr>
    <w:rPr>
      <w:lang w:val="ru-RU"/>
    </w:rPr>
  </w:style>
  <w:style w:type="paragraph" w:styleId="Heading8">
    <w:name w:val="Heading 8"/>
    <w:basedOn w:val="Normal"/>
    <w:next w:val="Normal"/>
    <w:qFormat/>
    <w:pPr>
      <w:spacing w:before="240" w:after="60"/>
      <w:outlineLvl w:val="7"/>
    </w:pPr>
    <w:rPr>
      <w:i/>
      <w:iCs/>
      <w:lang w:val="ru-RU"/>
    </w:rPr>
  </w:style>
  <w:style w:type="paragraph" w:styleId="Heading9">
    <w:name w:val="Heading 9"/>
    <w:basedOn w:val="Normal"/>
    <w:next w:val="Normal"/>
    <w:qFormat/>
    <w:pPr>
      <w:spacing w:before="240" w:after="60"/>
      <w:outlineLvl w:val="8"/>
    </w:pPr>
    <w:rPr>
      <w:rFonts w:ascii="Arial" w:hAnsi="Arial" w:cs="Arial"/>
      <w:sz w:val="22"/>
      <w:szCs w:val="22"/>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Cs/>
      <w:sz w:val="24"/>
    </w:rPr>
  </w:style>
  <w:style w:type="character" w:styleId="WW8Num7z1">
    <w:name w:val="WW8Num7z1"/>
    <w:qFormat/>
    <w:rPr>
      <w:rFonts w:ascii="Times New Roman" w:hAnsi="Times New Roman" w:eastAsia="Times New Roman" w:cs="Times New Roman"/>
      <w:sz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Style5">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rPr>
  </w:style>
  <w:style w:type="character" w:styleId="WW8Num21z1">
    <w:name w:val="WW8Num21z1"/>
    <w:qFormat/>
    <w:rPr>
      <w:rFonts w:ascii="Times New Roman" w:hAnsi="Times New Roman" w:eastAsia="Times New Roman" w:cs="Times New Roman"/>
      <w:sz w:val="24"/>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style>
  <w:style w:type="character" w:styleId="1">
    <w:name w:val="Основной шрифт абзаца1"/>
    <w:qFormat/>
    <w:rPr/>
  </w:style>
  <w:style w:type="character" w:styleId="Style6">
    <w:name w:val="Основной текст Знак"/>
    <w:qFormat/>
    <w:rPr>
      <w:sz w:val="24"/>
    </w:rPr>
  </w:style>
  <w:style w:type="character" w:styleId="Style7">
    <w:name w:val="Название Знак"/>
    <w:qFormat/>
    <w:rPr>
      <w:b/>
      <w:sz w:val="24"/>
      <w:lang w:val="ru-RU"/>
    </w:rPr>
  </w:style>
  <w:style w:type="character" w:styleId="Style8">
    <w:name w:val="Основной текст с отступом Знак"/>
    <w:qFormat/>
    <w:rPr>
      <w:sz w:val="24"/>
    </w:rPr>
  </w:style>
  <w:style w:type="character" w:styleId="Style9">
    <w:name w:val="Текст Знак"/>
    <w:qFormat/>
    <w:rPr>
      <w:rFonts w:ascii="Courier New" w:hAnsi="Courier New" w:cs="Courier New"/>
      <w:lang w:val="ru-RU"/>
    </w:rPr>
  </w:style>
  <w:style w:type="character" w:styleId="Hyperlink">
    <w:name w:val="Hyperlink"/>
    <w:rPr>
      <w:rFonts w:ascii="Times New Roman" w:hAnsi="Times New Roman" w:cs="Times New Roman"/>
      <w:color w:val="0000FF"/>
      <w:u w:val="single"/>
    </w:rPr>
  </w:style>
  <w:style w:type="character" w:styleId="Style10">
    <w:name w:val="Без интервала Знак"/>
    <w:qFormat/>
    <w:rPr>
      <w:rFonts w:ascii="Calibri" w:hAnsi="Calibri" w:cs="Calibri"/>
      <w:sz w:val="22"/>
      <w:szCs w:val="22"/>
      <w:lang w:bidi="ar-SA"/>
    </w:rPr>
  </w:style>
  <w:style w:type="character" w:styleId="PageNumber">
    <w:name w:val="Page Number"/>
    <w:basedOn w:val="1"/>
    <w:rPr/>
  </w:style>
  <w:style w:type="character" w:styleId="31">
    <w:name w:val="Заголовок 3 Знак"/>
    <w:qFormat/>
    <w:rPr>
      <w:rFonts w:ascii="Garamond" w:hAnsi="Garamond" w:cs="Garamond"/>
      <w:i/>
      <w:sz w:val="22"/>
      <w:lang w:val="ru-RU"/>
    </w:rPr>
  </w:style>
  <w:style w:type="character" w:styleId="41">
    <w:name w:val="Заголовок 4 Знак"/>
    <w:qFormat/>
    <w:rPr>
      <w:rFonts w:ascii="Garamond" w:hAnsi="Garamond" w:cs="Garamond"/>
      <w:caps/>
      <w:sz w:val="18"/>
      <w:lang w:val="ru-RU"/>
    </w:rPr>
  </w:style>
  <w:style w:type="character" w:styleId="5">
    <w:name w:val="Заголовок 5 Знак"/>
    <w:qFormat/>
    <w:rPr>
      <w:rFonts w:ascii="Garamond" w:hAnsi="Garamond" w:cs="Garamond"/>
      <w:sz w:val="22"/>
      <w:lang w:val="ru-RU"/>
    </w:rPr>
  </w:style>
  <w:style w:type="character" w:styleId="6">
    <w:name w:val="Заголовок 6 Знак"/>
    <w:qFormat/>
    <w:rPr>
      <w:b/>
      <w:bCs/>
      <w:sz w:val="22"/>
      <w:szCs w:val="22"/>
      <w:lang w:val="ru-RU"/>
    </w:rPr>
  </w:style>
  <w:style w:type="character" w:styleId="7">
    <w:name w:val="Заголовок 7 Знак"/>
    <w:qFormat/>
    <w:rPr>
      <w:sz w:val="24"/>
      <w:szCs w:val="24"/>
      <w:lang w:val="ru-RU"/>
    </w:rPr>
  </w:style>
  <w:style w:type="character" w:styleId="8">
    <w:name w:val="Заголовок 8 Знак"/>
    <w:qFormat/>
    <w:rPr>
      <w:i/>
      <w:iCs/>
      <w:sz w:val="24"/>
      <w:szCs w:val="24"/>
      <w:lang w:val="ru-RU"/>
    </w:rPr>
  </w:style>
  <w:style w:type="character" w:styleId="9">
    <w:name w:val="Заголовок 9 Знак"/>
    <w:qFormat/>
    <w:rPr>
      <w:rFonts w:ascii="Arial" w:hAnsi="Arial" w:cs="Arial"/>
      <w:sz w:val="22"/>
      <w:szCs w:val="22"/>
      <w:lang w:val="ru-RU"/>
    </w:rPr>
  </w:style>
  <w:style w:type="character" w:styleId="11">
    <w:name w:val="Заголовок 1 Знак"/>
    <w:qFormat/>
    <w:rPr>
      <w:rFonts w:ascii="Arial" w:hAnsi="Arial" w:cs="Arial"/>
      <w:b/>
      <w:bCs/>
      <w:sz w:val="32"/>
      <w:szCs w:val="32"/>
    </w:rPr>
  </w:style>
  <w:style w:type="character" w:styleId="21">
    <w:name w:val="Заголовок 2 Знак"/>
    <w:qFormat/>
    <w:rPr>
      <w:sz w:val="24"/>
    </w:rPr>
  </w:style>
  <w:style w:type="character" w:styleId="Style11">
    <w:name w:val="Подзаголовок Знак"/>
    <w:qFormat/>
    <w:rPr>
      <w:rFonts w:ascii="Arial" w:hAnsi="Arial" w:cs="Arial"/>
      <w:sz w:val="24"/>
      <w:szCs w:val="24"/>
      <w:lang w:val="ru-RU"/>
    </w:rPr>
  </w:style>
  <w:style w:type="character" w:styleId="Strong">
    <w:name w:val="Strong"/>
    <w:qFormat/>
    <w:rPr>
      <w:b/>
      <w:bCs/>
    </w:rPr>
  </w:style>
  <w:style w:type="character" w:styleId="Style12">
    <w:name w:val="Выделение"/>
    <w:qFormat/>
    <w:rPr>
      <w:i/>
      <w:iCs/>
      <w:lang w:val="ru-RU" w:bidi="ar-SA"/>
    </w:rPr>
  </w:style>
  <w:style w:type="character" w:styleId="Style13">
    <w:name w:val="Текст выноски Знак"/>
    <w:qFormat/>
    <w:rPr>
      <w:rFonts w:ascii="Tahoma" w:hAnsi="Tahoma" w:cs="Tahoma"/>
      <w:sz w:val="16"/>
      <w:szCs w:val="16"/>
    </w:rPr>
  </w:style>
  <w:style w:type="character" w:styleId="Heading4Char">
    <w:name w:val="Heading 4 Char"/>
    <w:qFormat/>
    <w:rPr>
      <w:rFonts w:ascii="Garamond" w:hAnsi="Garamond" w:cs="Garamond"/>
      <w:caps/>
      <w:sz w:val="20"/>
    </w:rPr>
  </w:style>
  <w:style w:type="character" w:styleId="Heading2Char1">
    <w:name w:val="Heading 2 Char1"/>
    <w:qFormat/>
    <w:rPr>
      <w:sz w:val="24"/>
    </w:rPr>
  </w:style>
  <w:style w:type="character" w:styleId="Heading1Char">
    <w:name w:val="Heading 1 Char"/>
    <w:qFormat/>
    <w:rPr>
      <w:rFonts w:ascii="Cambria" w:hAnsi="Cambria" w:cs="Cambria"/>
      <w:b/>
      <w:sz w:val="32"/>
    </w:rPr>
  </w:style>
  <w:style w:type="character" w:styleId="Heading2Char">
    <w:name w:val="Heading 2 Char"/>
    <w:qFormat/>
    <w:rPr>
      <w:rFonts w:ascii="Cambria" w:hAnsi="Cambria" w:cs="Cambria"/>
      <w:b/>
      <w:i/>
      <w:sz w:val="28"/>
    </w:rPr>
  </w:style>
  <w:style w:type="character" w:styleId="Heading3Char">
    <w:name w:val="Heading 3 Char"/>
    <w:qFormat/>
    <w:rPr>
      <w:rFonts w:ascii="Cambria" w:hAnsi="Cambria" w:cs="Cambria"/>
      <w:b/>
      <w:sz w:val="26"/>
    </w:rPr>
  </w:style>
  <w:style w:type="character" w:styleId="Heading5Char">
    <w:name w:val="Heading 5 Char"/>
    <w:qFormat/>
    <w:rPr>
      <w:rFonts w:ascii="Calibri" w:hAnsi="Calibri" w:cs="Calibri"/>
      <w:b/>
      <w:i/>
      <w:sz w:val="26"/>
    </w:rPr>
  </w:style>
  <w:style w:type="character" w:styleId="Heading6Char">
    <w:name w:val="Heading 6 Char"/>
    <w:qFormat/>
    <w:rPr>
      <w:rFonts w:ascii="Calibri" w:hAnsi="Calibri" w:cs="Calibri"/>
      <w:b/>
    </w:rPr>
  </w:style>
  <w:style w:type="character" w:styleId="Heading7Char">
    <w:name w:val="Heading 7 Char"/>
    <w:qFormat/>
    <w:rPr>
      <w:rFonts w:ascii="Calibri" w:hAnsi="Calibri" w:cs="Calibri"/>
      <w:sz w:val="24"/>
    </w:rPr>
  </w:style>
  <w:style w:type="character" w:styleId="Heading8Char">
    <w:name w:val="Heading 8 Char"/>
    <w:qFormat/>
    <w:rPr>
      <w:rFonts w:ascii="Calibri" w:hAnsi="Calibri" w:cs="Calibri"/>
      <w:i/>
      <w:sz w:val="24"/>
    </w:rPr>
  </w:style>
  <w:style w:type="character" w:styleId="Heading9Char">
    <w:name w:val="Heading 9 Char"/>
    <w:qFormat/>
    <w:rPr>
      <w:rFonts w:ascii="Cambria" w:hAnsi="Cambria" w:cs="Cambria"/>
    </w:rPr>
  </w:style>
  <w:style w:type="character" w:styleId="Style14">
    <w:name w:val="Верхний колонтитул Знак"/>
    <w:qFormat/>
    <w:rPr>
      <w:sz w:val="24"/>
      <w:szCs w:val="24"/>
    </w:rPr>
  </w:style>
  <w:style w:type="character" w:styleId="Style15">
    <w:name w:val="Нижний колонтитул Знак"/>
    <w:qFormat/>
    <w:rPr>
      <w:sz w:val="24"/>
      <w:szCs w:val="24"/>
    </w:rPr>
  </w:style>
  <w:style w:type="character" w:styleId="13pt">
    <w:name w:val="Основной текст + 13 pt"/>
    <w:qFormat/>
    <w:rPr>
      <w:b/>
      <w:sz w:val="26"/>
    </w:rPr>
  </w:style>
  <w:style w:type="character" w:styleId="42">
    <w:name w:val="Знак Знак4"/>
    <w:qFormat/>
    <w:rPr>
      <w:sz w:val="24"/>
    </w:rPr>
  </w:style>
  <w:style w:type="character" w:styleId="TitleChar">
    <w:name w:val="Title Char"/>
    <w:qFormat/>
    <w:rPr>
      <w:rFonts w:ascii="Cambria" w:hAnsi="Cambria" w:cs="Cambria"/>
      <w:b/>
      <w:sz w:val="32"/>
    </w:rPr>
  </w:style>
  <w:style w:type="character" w:styleId="51">
    <w:name w:val="Знак Знак5"/>
    <w:qFormat/>
    <w:rPr>
      <w:sz w:val="24"/>
    </w:rPr>
  </w:style>
  <w:style w:type="character" w:styleId="PlainTextChar">
    <w:name w:val="Plain Text Char"/>
    <w:qFormat/>
    <w:rPr>
      <w:rFonts w:ascii="Courier New" w:hAnsi="Courier New" w:cs="Courier New"/>
      <w:sz w:val="20"/>
    </w:rPr>
  </w:style>
  <w:style w:type="character" w:styleId="111">
    <w:name w:val="Знак Знак11"/>
    <w:qFormat/>
    <w:rPr>
      <w:rFonts w:ascii="Garamond" w:hAnsi="Garamond" w:cs="Garamond"/>
      <w:caps/>
      <w:sz w:val="18"/>
    </w:rPr>
  </w:style>
  <w:style w:type="character" w:styleId="SubtitleChar">
    <w:name w:val="Subtitle Char"/>
    <w:qFormat/>
    <w:rPr>
      <w:rFonts w:ascii="Cambria" w:hAnsi="Cambria" w:cs="Cambria"/>
      <w:sz w:val="24"/>
    </w:rPr>
  </w:style>
  <w:style w:type="character" w:styleId="22">
    <w:name w:val="Знак Знак2"/>
    <w:qFormat/>
    <w:rPr>
      <w:b/>
      <w:sz w:val="24"/>
    </w:rPr>
  </w:style>
  <w:style w:type="character" w:styleId="Style16">
    <w:name w:val="Символ нумерации"/>
    <w:qFormat/>
    <w:rPr/>
  </w:style>
  <w:style w:type="character" w:styleId="Style17">
    <w:name w:val="Выделение жирным"/>
    <w:qFormat/>
    <w:rPr>
      <w:b/>
      <w:bCs/>
    </w:rPr>
  </w:style>
  <w:style w:type="paragraph" w:styleId="Style18">
    <w:name w:val="Заголовок"/>
    <w:basedOn w:val="Normal"/>
    <w:next w:val="BodyText"/>
    <w:qFormat/>
    <w:pPr>
      <w:jc w:val="center"/>
    </w:pPr>
    <w:rPr>
      <w:b/>
      <w:szCs w:val="20"/>
      <w:lang w:val="ru-RU"/>
    </w:rPr>
  </w:style>
  <w:style w:type="paragraph" w:styleId="BodyText">
    <w:name w:val="Body Text"/>
    <w:basedOn w:val="Normal"/>
    <w:pPr>
      <w:jc w:val="both"/>
    </w:pPr>
    <w:rPr>
      <w:szCs w:val="20"/>
      <w:lang w:val="ru-RU"/>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Название объекта"/>
    <w:basedOn w:val="Normal"/>
    <w:qFormat/>
    <w:pPr>
      <w:suppressLineNumbers/>
      <w:spacing w:before="120" w:after="120"/>
    </w:pPr>
    <w:rPr>
      <w:rFonts w:cs="Mangal"/>
      <w:i/>
      <w:iCs/>
      <w:sz w:val="24"/>
      <w:szCs w:val="24"/>
    </w:rPr>
  </w:style>
  <w:style w:type="paragraph" w:styleId="43">
    <w:name w:val="Указатель4"/>
    <w:basedOn w:val="Normal"/>
    <w:qFormat/>
    <w:pPr>
      <w:suppressLineNumbers/>
    </w:pPr>
    <w:rPr>
      <w:rFonts w:cs="Mangal"/>
    </w:rPr>
  </w:style>
  <w:style w:type="paragraph" w:styleId="44">
    <w:name w:val="Название объекта4"/>
    <w:basedOn w:val="Normal"/>
    <w:qFormat/>
    <w:pPr>
      <w:suppressLineNumbers/>
      <w:spacing w:before="120" w:after="120"/>
    </w:pPr>
    <w:rPr>
      <w:rFonts w:cs="Mangal"/>
      <w:i/>
      <w:iCs/>
      <w:sz w:val="24"/>
      <w:szCs w:val="24"/>
    </w:rPr>
  </w:style>
  <w:style w:type="paragraph" w:styleId="32">
    <w:name w:val="Указатель3"/>
    <w:basedOn w:val="Normal"/>
    <w:qFormat/>
    <w:pPr>
      <w:suppressLineNumbers/>
    </w:pPr>
    <w:rPr>
      <w:rFonts w:cs="Mangal"/>
    </w:rPr>
  </w:style>
  <w:style w:type="paragraph" w:styleId="33">
    <w:name w:val="Название объекта3"/>
    <w:basedOn w:val="Normal"/>
    <w:qFormat/>
    <w:pPr>
      <w:suppressLineNumbers/>
      <w:spacing w:before="120" w:after="120"/>
    </w:pPr>
    <w:rPr>
      <w:rFonts w:cs="Mangal"/>
      <w:i/>
      <w:iCs/>
      <w:sz w:val="24"/>
      <w:szCs w:val="24"/>
    </w:rPr>
  </w:style>
  <w:style w:type="paragraph" w:styleId="23">
    <w:name w:val="Указатель2"/>
    <w:basedOn w:val="Normal"/>
    <w:qFormat/>
    <w:pPr>
      <w:suppressLineNumbers/>
    </w:pPr>
    <w:rPr>
      <w:rFonts w:cs="Mangal"/>
    </w:rPr>
  </w:style>
  <w:style w:type="paragraph" w:styleId="24">
    <w:name w:val="Название объекта2"/>
    <w:basedOn w:val="Normal"/>
    <w:qFormat/>
    <w:pPr>
      <w:suppressLineNumbers/>
      <w:spacing w:before="120" w:after="120"/>
    </w:pPr>
    <w:rPr>
      <w:rFonts w:cs="Mangal"/>
      <w:i/>
      <w:iCs/>
      <w:sz w:val="24"/>
      <w:szCs w:val="24"/>
    </w:rPr>
  </w:style>
  <w:style w:type="paragraph" w:styleId="12">
    <w:name w:val="Указатель1"/>
    <w:basedOn w:val="Normal"/>
    <w:qFormat/>
    <w:pPr>
      <w:suppressLineNumbers/>
    </w:pPr>
    <w:rPr>
      <w:rFonts w:cs="Mangal"/>
    </w:rPr>
  </w:style>
  <w:style w:type="paragraph" w:styleId="BodyTextIndent">
    <w:name w:val="Body Text Indent"/>
    <w:basedOn w:val="Normal"/>
    <w:pPr>
      <w:ind w:firstLine="993" w:left="0" w:right="0"/>
      <w:jc w:val="both"/>
    </w:pPr>
    <w:rPr>
      <w:szCs w:val="20"/>
      <w:lang w:val="ru-RU"/>
    </w:rPr>
  </w:style>
  <w:style w:type="paragraph" w:styleId="Style21">
    <w:name w:val="Текст выноски"/>
    <w:basedOn w:val="Normal"/>
    <w:qFormat/>
    <w:pPr/>
    <w:rPr>
      <w:rFonts w:ascii="Tahoma" w:hAnsi="Tahoma" w:cs="Tahoma"/>
      <w:sz w:val="16"/>
      <w:szCs w:val="16"/>
      <w:lang w:val="ru-RU"/>
    </w:rPr>
  </w:style>
  <w:style w:type="paragraph" w:styleId="ConsPlusNormal">
    <w:name w:val="ConsPlusNormal"/>
    <w:qFormat/>
    <w:pPr>
      <w:widowControl w:val="false"/>
      <w:suppressAutoHyphens w:val="true"/>
      <w:overflowPunct w:val="false"/>
      <w:bidi w:val="0"/>
      <w:spacing w:before="0" w:after="0"/>
      <w:ind w:firstLine="720" w:left="0" w:right="0"/>
      <w:jc w:val="left"/>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hanging="0" w:left="0" w:right="19772"/>
      <w:jc w:val="left"/>
    </w:pPr>
    <w:rPr>
      <w:rFonts w:ascii="Courier New" w:hAnsi="Courier New" w:eastAsia="Times New Roman" w:cs="Courier New"/>
      <w:color w:val="00000A"/>
      <w:kern w:val="0"/>
      <w:sz w:val="20"/>
      <w:szCs w:val="20"/>
      <w:lang w:val="ru-RU" w:eastAsia="zh-CN" w:bidi="ar-SA"/>
    </w:rPr>
  </w:style>
  <w:style w:type="paragraph" w:styleId="ConsNormal">
    <w:name w:val="ConsNormal"/>
    <w:qFormat/>
    <w:pPr>
      <w:widowControl w:val="false"/>
      <w:suppressAutoHyphens w:val="true"/>
      <w:overflowPunct w:val="false"/>
      <w:bidi w:val="0"/>
      <w:spacing w:before="0" w:after="0"/>
      <w:ind w:firstLine="720" w:left="0" w:right="19772"/>
      <w:jc w:val="left"/>
    </w:pPr>
    <w:rPr>
      <w:rFonts w:ascii="Arial" w:hAnsi="Arial" w:eastAsia="Times New Roman" w:cs="Arial"/>
      <w:color w:val="00000A"/>
      <w:kern w:val="0"/>
      <w:sz w:val="20"/>
      <w:szCs w:val="20"/>
      <w:lang w:val="ru-RU" w:eastAsia="zh-CN" w:bidi="ar-SA"/>
    </w:rPr>
  </w:style>
  <w:style w:type="paragraph" w:styleId="ConsPlusTitle">
    <w:name w:val="ConsPlusTitle"/>
    <w:qFormat/>
    <w:pPr>
      <w:widowControl/>
      <w:suppressAutoHyphens w:val="true"/>
      <w:overflowPunct w:val="false"/>
      <w:bidi w:val="0"/>
      <w:spacing w:before="0" w:after="0"/>
      <w:jc w:val="left"/>
    </w:pPr>
    <w:rPr>
      <w:rFonts w:ascii="Arial" w:hAnsi="Arial" w:eastAsia="Calibri" w:cs="Arial"/>
      <w:b/>
      <w:bCs/>
      <w:color w:val="00000A"/>
      <w:kern w:val="0"/>
      <w:sz w:val="24"/>
      <w:szCs w:val="24"/>
      <w:lang w:val="ru-RU" w:eastAsia="zh-CN" w:bidi="ar-SA"/>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ConsPlusCell">
    <w:name w:val="ConsPlusCell"/>
    <w:qFormat/>
    <w:pPr>
      <w:widowControl/>
      <w:suppressAutoHyphens w:val="fals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Style22">
    <w:name w:val="Обычный (веб)"/>
    <w:basedOn w:val="Normal"/>
    <w:qFormat/>
    <w:pPr>
      <w:spacing w:before="0" w:after="144"/>
    </w:pPr>
    <w:rPr/>
  </w:style>
  <w:style w:type="paragraph" w:styleId="13">
    <w:name w:val="Текст1"/>
    <w:basedOn w:val="Normal"/>
    <w:qFormat/>
    <w:pPr/>
    <w:rPr>
      <w:rFonts w:ascii="Courier New" w:hAnsi="Courier New" w:cs="Courier New"/>
      <w:sz w:val="20"/>
      <w:szCs w:val="20"/>
      <w:lang w:val="ru-RU"/>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Style23">
    <w:name w:val="Без интервала"/>
    <w:qFormat/>
    <w:pPr>
      <w:widowControl/>
      <w:suppressAutoHyphens w:val="true"/>
      <w:overflowPunct w:val="false"/>
      <w:bidi w:val="0"/>
      <w:spacing w:before="0" w:after="0"/>
      <w:jc w:val="left"/>
    </w:pPr>
    <w:rPr>
      <w:rFonts w:ascii="Calibri" w:hAnsi="Calibri" w:eastAsia="Times New Roman" w:cs="Calibri"/>
      <w:color w:val="00000A"/>
      <w:kern w:val="0"/>
      <w:sz w:val="22"/>
      <w:szCs w:val="22"/>
      <w:lang w:val="ru-RU" w:eastAsia="zh-CN" w:bidi="ar-SA"/>
    </w:rPr>
  </w:style>
  <w:style w:type="paragraph" w:styleId="Style24">
    <w:name w:val="Абзац списка"/>
    <w:basedOn w:val="Normal"/>
    <w:qFormat/>
    <w:pPr>
      <w:spacing w:lineRule="auto" w:line="276" w:before="0" w:after="200"/>
      <w:ind w:hanging="0" w:left="720" w:right="0"/>
      <w:contextualSpacing/>
    </w:pPr>
    <w:rPr>
      <w:rFonts w:ascii="Calibri" w:hAnsi="Calibri" w:cs="Calibri"/>
      <w:sz w:val="22"/>
      <w:szCs w:val="22"/>
    </w:rPr>
  </w:style>
  <w:style w:type="paragraph" w:styleId="U">
    <w:name w:val="u"/>
    <w:basedOn w:val="Normal"/>
    <w:qFormat/>
    <w:pPr>
      <w:ind w:firstLine="390" w:left="0" w:right="0"/>
      <w:jc w:val="both"/>
    </w:pPr>
    <w:rPr/>
  </w:style>
  <w:style w:type="paragraph" w:styleId="Style25">
    <w:name w:val="Колонтитул"/>
    <w:basedOn w:val="Normal"/>
    <w:qFormat/>
    <w:pPr/>
    <w:rPr/>
  </w:style>
  <w:style w:type="paragraph" w:styleId="Header">
    <w:name w:val="Header"/>
    <w:basedOn w:val="Normal"/>
    <w:pPr>
      <w:tabs>
        <w:tab w:val="clear" w:pos="265"/>
        <w:tab w:val="center" w:pos="4677" w:leader="none"/>
        <w:tab w:val="right" w:pos="9355" w:leader="none"/>
      </w:tabs>
    </w:pPr>
    <w:rPr/>
  </w:style>
  <w:style w:type="paragraph" w:styleId="Footer">
    <w:name w:val="Footer"/>
    <w:basedOn w:val="Normal"/>
    <w:pPr>
      <w:tabs>
        <w:tab w:val="clear" w:pos="265"/>
        <w:tab w:val="center" w:pos="4677" w:leader="none"/>
        <w:tab w:val="right" w:pos="9355" w:leader="none"/>
      </w:tabs>
    </w:pPr>
    <w:rPr/>
  </w:style>
  <w:style w:type="paragraph" w:styleId="14">
    <w:name w:val="Название объекта1"/>
    <w:basedOn w:val="Normal"/>
    <w:next w:val="Normal"/>
    <w:qFormat/>
    <w:pPr>
      <w:spacing w:before="120" w:after="120"/>
    </w:pPr>
    <w:rPr>
      <w:rFonts w:ascii="Garamond" w:hAnsi="Garamond" w:cs="Garamond"/>
      <w:b/>
      <w:bCs/>
      <w:sz w:val="20"/>
      <w:szCs w:val="20"/>
    </w:rPr>
  </w:style>
  <w:style w:type="paragraph" w:styleId="Subtitle">
    <w:name w:val="Subtitle"/>
    <w:basedOn w:val="Normal"/>
    <w:qFormat/>
    <w:pPr>
      <w:spacing w:before="0" w:after="60"/>
      <w:jc w:val="center"/>
    </w:pPr>
    <w:rPr>
      <w:rFonts w:ascii="Arial" w:hAnsi="Arial" w:cs="Arial"/>
      <w:lang w:val="ru-RU"/>
    </w:rPr>
  </w:style>
  <w:style w:type="paragraph" w:styleId="Style26">
    <w:name w:val="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5">
    <w:name w:val="Без интервала1"/>
    <w:qFormat/>
    <w:pPr>
      <w:widowControl/>
      <w:suppressAutoHyphens w:val="true"/>
      <w:overflowPunct w:val="false"/>
      <w:bidi w:val="0"/>
      <w:spacing w:before="0" w:after="0"/>
      <w:jc w:val="left"/>
    </w:pPr>
    <w:rPr>
      <w:rFonts w:ascii="Calibri" w:hAnsi="Calibri" w:eastAsia="Times New Roman" w:cs="Calibri"/>
      <w:color w:val="00000A"/>
      <w:kern w:val="0"/>
      <w:sz w:val="22"/>
      <w:szCs w:val="22"/>
      <w:lang w:val="ru-RU" w:eastAsia="zh-CN" w:bidi="ar-SA"/>
    </w:rPr>
  </w:style>
  <w:style w:type="paragraph" w:styleId="25">
    <w:name w:val="Без интервала2"/>
    <w:qFormat/>
    <w:pPr>
      <w:widowControl/>
      <w:suppressAutoHyphens w:val="true"/>
      <w:overflowPunct w:val="false"/>
      <w:bidi w:val="0"/>
      <w:spacing w:before="0" w:after="0"/>
      <w:jc w:val="left"/>
    </w:pPr>
    <w:rPr>
      <w:rFonts w:ascii="Calibri" w:hAnsi="Calibri" w:eastAsia="Times New Roman" w:cs="Calibri"/>
      <w:color w:val="00000A"/>
      <w:kern w:val="0"/>
      <w:sz w:val="22"/>
      <w:szCs w:val="22"/>
      <w:lang w:val="ru-RU" w:eastAsia="zh-CN" w:bidi="ar-SA"/>
    </w:rPr>
  </w:style>
  <w:style w:type="paragraph" w:styleId="16">
    <w:name w:val="Абзац списка1"/>
    <w:basedOn w:val="Normal"/>
    <w:qFormat/>
    <w:pPr>
      <w:spacing w:lineRule="auto" w:line="276" w:before="0" w:after="200"/>
      <w:ind w:hanging="0" w:left="720" w:right="0"/>
    </w:pPr>
    <w:rPr>
      <w:rFonts w:ascii="Calibri" w:hAnsi="Calibri" w:eastAsia="Calibri" w:cs="Calibri"/>
      <w:sz w:val="22"/>
      <w:szCs w:val="22"/>
    </w:rPr>
  </w:style>
  <w:style w:type="paragraph" w:styleId="34">
    <w:name w:val="Без интервала3"/>
    <w:qFormat/>
    <w:pPr>
      <w:widowControl/>
      <w:suppressAutoHyphens w:val="true"/>
      <w:overflowPunct w:val="false"/>
      <w:bidi w:val="0"/>
      <w:spacing w:before="0" w:after="0"/>
      <w:jc w:val="left"/>
    </w:pPr>
    <w:rPr>
      <w:rFonts w:ascii="Calibri" w:hAnsi="Calibri" w:eastAsia="Calibri" w:cs="Calibri"/>
      <w:color w:val="00000A"/>
      <w:kern w:val="0"/>
      <w:sz w:val="22"/>
      <w:szCs w:val="20"/>
      <w:lang w:val="ru-RU" w:eastAsia="zh-CN" w:bidi="ar-SA"/>
    </w:rPr>
  </w:style>
  <w:style w:type="paragraph" w:styleId="26">
    <w:name w:val="Абзац списка2"/>
    <w:basedOn w:val="Normal"/>
    <w:qFormat/>
    <w:pPr>
      <w:spacing w:lineRule="auto" w:line="276" w:before="0" w:after="200"/>
      <w:ind w:hanging="0" w:left="720" w:right="0"/>
      <w:contextualSpacing/>
    </w:pPr>
    <w:rPr>
      <w:rFonts w:ascii="Calibri" w:hAnsi="Calibri" w:eastAsia="Calibri" w:cs="Calibri"/>
      <w:sz w:val="22"/>
      <w:szCs w:val="22"/>
    </w:rPr>
  </w:style>
  <w:style w:type="paragraph" w:styleId="Style27">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eastAsia="Calibri" w:cs="Tahoma"/>
      <w:sz w:val="20"/>
      <w:szCs w:val="20"/>
      <w:lang w:val="en-US"/>
    </w:rPr>
  </w:style>
  <w:style w:type="paragraph" w:styleId="35">
    <w:name w:val="Абзац списка3"/>
    <w:basedOn w:val="Normal"/>
    <w:qFormat/>
    <w:pPr>
      <w:spacing w:lineRule="auto" w:line="276" w:before="0" w:after="200"/>
      <w:ind w:hanging="0" w:left="720" w:right="0"/>
    </w:pPr>
    <w:rPr>
      <w:rFonts w:ascii="Calibri" w:hAnsi="Calibri" w:cs="Calibri"/>
      <w:sz w:val="22"/>
      <w:szCs w:val="22"/>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paragraph" w:styleId="Style31">
    <w:name w:val="Таблица"/>
    <w:basedOn w:val="Caption"/>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19014</TotalTime>
  <Application>LibreOffice/7.6.2.1$Windows_X86_64 LibreOffice_project/56f7684011345957bbf33a7ee678afaf4d2ba333</Application>
  <AppVersion>15.0000</AppVersion>
  <Pages>9</Pages>
  <Words>1184</Words>
  <Characters>7265</Characters>
  <CharactersWithSpaces>8162</CharactersWithSpaces>
  <Paragraphs>384</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2020-09-25T09:06:00Z</dcterms:created>
  <dc:creator>econom2</dc:creator>
  <dc:description/>
  <dc:language>ru-RU</dc:language>
  <cp:lastModifiedBy/>
  <cp:lastPrinted>2024-02-22T10:50:18Z</cp:lastPrinted>
  <dcterms:modified xsi:type="dcterms:W3CDTF">2024-02-22T10:53:47Z</dcterms:modified>
  <cp:revision>1356</cp:revision>
  <dc:subject/>
  <dc:title>Постановление Правительства РК от 31.10.2019 N 517(ред. от 16.04.2020)"О Государственной программе Республики Коми "Социальная защита населения"(вместе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dc:title>
</cp:coreProperties>
</file>

<file path=docProps/custom.xml><?xml version="1.0" encoding="utf-8"?>
<Properties xmlns="http://schemas.openxmlformats.org/officeDocument/2006/custom-properties" xmlns:vt="http://schemas.openxmlformats.org/officeDocument/2006/docPropsVTypes"/>
</file>