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1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1585"/>
        <w:gridCol w:w="4775"/>
      </w:tblGrid>
      <w:tr>
        <w:trPr>
          <w:trHeight w:val="1569" w:hRule="atLeast"/>
        </w:trPr>
        <w:tc>
          <w:tcPr>
            <w:tcW w:w="385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КОМИ РЕСПУ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БЛИКАСА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lang w:val="ru-RU"/>
              </w:rPr>
              <w:t>«ВУКТЫЛ»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Ö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Й </w:t>
            </w:r>
            <w:r>
              <w:rPr>
                <w:rFonts w:cs="Times New Roman" w:ascii="Times New Roman" w:hAnsi="Times New Roman"/>
                <w:b/>
                <w:sz w:val="20"/>
              </w:rPr>
              <w:t>КЫТШЛ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ÖН</w:t>
            </w:r>
          </w:p>
          <w:p>
            <w:pPr>
              <w:pStyle w:val="Normal"/>
              <w:spacing w:lineRule="auto" w:line="276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hanging="0" w:left="0" w:right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917575" cy="10541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74" t="-269" r="-274" b="-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/>
                <w:bCs/>
                <w:sz w:val="20"/>
                <w:lang w:val="ru-RU"/>
              </w:rPr>
              <w:t>МУНИЦИПАЛЬНОГО</w:t>
            </w:r>
          </w:p>
          <w:p>
            <w:pPr>
              <w:pStyle w:val="Normal"/>
              <w:spacing w:lineRule="auto" w:line="240" w:before="0" w:after="0"/>
              <w:ind w:hanging="61" w:left="-61" w:right="-15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ОКРУГА «ВУКТЫЛ»</w:t>
            </w:r>
          </w:p>
          <w:p>
            <w:pPr>
              <w:pStyle w:val="Normal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РЕСПУБЛИКИ КОМИ</w:t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«05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» февраля 2024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suppressAutoHyphens w:val="true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/>
          <w:sz w:val="34"/>
          <w:szCs w:val="34"/>
          <w:shd w:fill="auto" w:val="clear"/>
        </w:rPr>
        <w:t xml:space="preserve">Постановление  № </w:t>
      </w:r>
      <w:r>
        <w:rPr>
          <w:rFonts w:cs="Times New Roman" w:ascii="Times New Roman" w:hAnsi="Times New Roman"/>
          <w:b/>
          <w:color w:val="000000"/>
          <w:sz w:val="34"/>
          <w:szCs w:val="34"/>
          <w:u w:val="single"/>
          <w:shd w:fill="auto" w:val="clear"/>
        </w:rPr>
        <w:t>02</w:t>
      </w:r>
      <w:r>
        <w:rPr>
          <w:rFonts w:cs="Times New Roman" w:ascii="Times New Roman" w:hAnsi="Times New Roman"/>
          <w:b/>
          <w:bCs/>
          <w:color w:val="000000"/>
          <w:sz w:val="34"/>
          <w:szCs w:val="34"/>
          <w:u w:val="none"/>
          <w:shd w:fill="auto" w:val="clear"/>
        </w:rPr>
        <w:t>/</w:t>
      </w:r>
      <w:r>
        <w:rPr>
          <w:rFonts w:cs="Times New Roman" w:ascii="Times New Roman" w:hAnsi="Times New Roman"/>
          <w:b/>
          <w:bCs/>
          <w:color w:val="000000"/>
          <w:sz w:val="34"/>
          <w:szCs w:val="34"/>
          <w:u w:val="single"/>
          <w:shd w:fill="auto" w:val="clear"/>
        </w:rPr>
        <w:t>119</w:t>
      </w:r>
    </w:p>
    <w:p>
      <w:pPr>
        <w:pStyle w:val="BodyText"/>
        <w:suppressAutoHyphens w:val="true"/>
        <w:bidi w:val="0"/>
        <w:spacing w:lineRule="auto" w:line="240" w:before="0" w:after="480"/>
        <w:ind w:hanging="0" w:left="0" w:right="5216"/>
        <w:jc w:val="both"/>
        <w:rPr/>
      </w:pPr>
      <w:bookmarkStart w:id="0" w:name="__DdeLink__64580_12404437721"/>
      <w:r>
        <w:rPr>
          <w:b/>
          <w:bCs/>
          <w:color w:val="000000"/>
          <w:sz w:val="24"/>
          <w:szCs w:val="24"/>
          <w:shd w:fill="auto" w:val="clear"/>
        </w:rPr>
        <w:t>О внесении изменения в постановление администрации муниципального округа «Вуктыл» Республики Коми</w:t>
      </w:r>
      <w:bookmarkEnd w:id="0"/>
      <w:r>
        <w:rPr>
          <w:b/>
          <w:bCs/>
          <w:color w:val="000000"/>
          <w:sz w:val="24"/>
          <w:szCs w:val="24"/>
          <w:shd w:fill="auto" w:val="clear"/>
        </w:rPr>
        <w:t xml:space="preserve"> от 12 октября 2023 года № 10/303 </w:t>
      </w:r>
      <w:r>
        <w:rPr>
          <w:b/>
          <w:bCs/>
          <w:color w:val="000000"/>
          <w:sz w:val="24"/>
          <w:szCs w:val="24"/>
          <w:shd w:fill="auto" w:val="clear"/>
          <w:lang w:val="ru-RU"/>
        </w:rPr>
        <w:t>«Об утверждении муниципальной программы муниципального округа «Вуктыл» Республики Коми «Муниципальное управление»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городского округа «Вуктыл» от 21 июля 2023 года № 198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«О правопреемстве муниципальных правовых актов»,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муниципального округа «Вуктыл» Республики Коми от 12 декабря 2023 года № 45 «О бюджете муниципального округа «Вуктыл» Республики Коми на 2024 год и плановый период 2025 и 2026 годов»,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муниципального округа «Вуктыл» Республики Коми от 12 октября 2023 года № 10/303 «Об утверждении муниципальной программы муниципального округа «Вуктыл» Республики Коми «Муниципальное управление» следующее изменение: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муниципальную программу муниципального округа «Вуктыл» Республики Коми «Муниципальное управление», утвержденную постановлением (приложение), изложить в редакции согласно приложению к настоящему постановлению.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 xml:space="preserve">2.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Настоящее постановление вступает в силу со дня его опубликования (обнародования) и распространяется на правоотношения, возникшие с 01 января 2024 года.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ab/>
        <w:t xml:space="preserve">3.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en-US"/>
        </w:rPr>
        <w:t>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669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ab/>
        <w:t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Глава муниципального округа «Вуктыл» </w:t>
      </w:r>
    </w:p>
    <w:p>
      <w:pPr>
        <w:sectPr>
          <w:type w:val="nextPage"/>
          <w:pgSz w:w="11906" w:h="16838"/>
          <w:pgMar w:left="1559" w:right="851" w:gutter="0" w:header="0" w:top="850" w:footer="0" w:bottom="680"/>
          <w:pgNumType w:start="2" w:fmt="decimal"/>
          <w:formProt w:val="false"/>
          <w:textDirection w:val="lrTb"/>
          <w:docGrid w:type="default" w:linePitch="299" w:charSpace="0"/>
        </w:sect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Республики Коми - руководитель администрации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Н.В Новикова</w:t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48"/>
        <w:gridCol w:w="4611"/>
      </w:tblGrid>
      <w:tr>
        <w:trPr/>
        <w:tc>
          <w:tcPr>
            <w:tcW w:w="4748" w:type="dxa"/>
            <w:tcBorders/>
          </w:tcPr>
          <w:p>
            <w:pPr>
              <w:pStyle w:val="Style24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муниципального округа «Вуктыл»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от «05» февраля 2024 г. № 02/119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748" w:type="dxa"/>
            <w:tcBorders/>
          </w:tcPr>
          <w:p>
            <w:pPr>
              <w:pStyle w:val="Style24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«УТВЕРЖДЕНА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муниципального округа «Вуктыл»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Республики Коми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 «12» октября 202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г. № 10/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303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(приложение)</w:t>
            </w:r>
          </w:p>
        </w:tc>
      </w:tr>
    </w:tbl>
    <w:p>
      <w:pPr>
        <w:pStyle w:val="Normal"/>
        <w:widowControl w:val="false"/>
        <w:suppressAutoHyphens w:val="true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</w:t>
      </w:r>
    </w:p>
    <w:p>
      <w:pPr>
        <w:pStyle w:val="Normal"/>
        <w:widowControl w:val="false"/>
        <w:suppressAutoHyphens w:val="true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1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shd w:fill="auto" w:val="clear"/>
        </w:rPr>
      </w:pPr>
      <w:bookmarkStart w:id="1" w:name="_GoBack2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МУНИЦИПАЛЬНАЯ ПРОГРАММА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ПАСПОРТ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 муниципального округа «Вуктыл»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(далее – муниципальная программа)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95" w:type="dxa"/>
        <w:jc w:val="left"/>
        <w:tblInd w:w="-29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79"/>
        <w:gridCol w:w="7515"/>
      </w:tblGrid>
      <w:tr>
        <w:trPr>
          <w:trHeight w:val="8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исполнитель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ind w:hanging="0" w:left="113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Сектор расчетов и закупок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муниципального округа «Вуктыл» Республики 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СРиЗ;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Вуктыл</w:t>
            </w:r>
            <w:r>
              <w:rPr/>
              <w:t>»)</w:t>
            </w:r>
          </w:p>
        </w:tc>
      </w:tr>
      <w:tr>
        <w:trPr>
          <w:trHeight w:val="648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Соисполнители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Организационный отдел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Орг.отдел)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отдел кадров и трудовых отношений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ОКиТО);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отдел строительства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(далее — ОС)</w:t>
            </w:r>
          </w:p>
        </w:tc>
      </w:tr>
      <w:tr>
        <w:trPr>
          <w:trHeight w:val="593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606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«Открытый муниципалитет».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2. «Развитие кадрового потенциала».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3. «Обеспечение органов местного самоуправления».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33" w:leader="none"/>
              </w:tabs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ar-SA"/>
              </w:rPr>
              <w:t>емонт, капитальный ремонт и реконструкция здания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ar-SA"/>
              </w:rPr>
              <w:t xml:space="preserve"> «Вуктыл»</w:t>
            </w:r>
          </w:p>
        </w:tc>
      </w:tr>
      <w:tr>
        <w:trPr>
          <w:trHeight w:val="12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Программно-целевые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инструменты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514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Совершенствование муниципального управления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</w:tr>
      <w:tr>
        <w:trPr>
          <w:trHeight w:val="14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347"/>
                <w:tab w:val="left" w:pos="517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Повышение открытости и прозрачности деятельности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347"/>
                <w:tab w:val="left" w:pos="517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Ф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ормирование компактного, высокопрофессионального, оптимально сбалансированного и эффективного аппарата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347"/>
                <w:tab w:val="left" w:pos="318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Повышение эффективности и результативности деятельности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</w:t>
            </w:r>
          </w:p>
        </w:tc>
      </w:tr>
      <w:tr>
        <w:trPr>
          <w:trHeight w:val="8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показатели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Уровень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деятельностью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5. 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</w:t>
            </w:r>
          </w:p>
        </w:tc>
      </w:tr>
      <w:tr>
        <w:trPr>
          <w:trHeight w:val="6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муниципальной программы: 2024–2030 годы.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муниципальной  программы  этапы не выделяются</w:t>
            </w:r>
          </w:p>
        </w:tc>
      </w:tr>
      <w:tr>
        <w:trPr>
          <w:trHeight w:val="264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составит 262 212 998,79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бюджета муниципального округа «Вуктыл» Республики Коми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FFFFFF" w:val="clear"/>
                <w:lang w:eastAsia="en-US"/>
              </w:rPr>
              <w:t>(далее - муниципальный округ «Вуктыл», МО «Вуктыл», местный бюджет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- 239 208 135,79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республиканского бюджета Республики Коми (далее - РБ РК) –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федерального бюджета Российской Федерации (далее — ФБ РФ) –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98 066 583,29 рубля,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- 90 650 048,29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84 152 410,47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- 76 485 959,47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79 994 005,03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- 72 072 128,03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2 891 573,00 рубля</w:t>
            </w:r>
          </w:p>
        </w:tc>
      </w:tr>
      <w:tr>
        <w:trPr>
          <w:trHeight w:val="428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428" w:hRule="atLeast"/>
        </w:trPr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результаты реализации муниципальной программы</w:t>
            </w:r>
          </w:p>
        </w:tc>
        <w:tc>
          <w:tcPr>
            <w:tcW w:w="7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муниципальной программы к 2030 году ожидается: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Уровень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населения деятельностью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не менее 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процентов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не менее 10 процентов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не менее 100 процентов.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«Вуктыл», являющихся юридическими лицами не менее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0 единиц.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5. 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«Вуктыл», являющихся юридическими лицами не менее 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единиц</w:t>
            </w:r>
          </w:p>
        </w:tc>
      </w:tr>
    </w:tbl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Раздел. Приоритеты, цели и задачи реализуемой муниципальной политики в соответствующей сфере социально-экономического развития</w:t>
      </w:r>
    </w:p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tabs>
          <w:tab w:val="clear" w:pos="347"/>
          <w:tab w:val="left" w:pos="900" w:leader="none"/>
        </w:tabs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Приоритетом реализуемой в </w:t>
      </w:r>
      <w:r>
        <w:rPr>
          <w:rFonts w:cs="Times New Roman" w:ascii="Times New Roman" w:hAnsi="Times New Roman"/>
          <w:color w:val="C9211E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МО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«Вуктыл» муниципальной политики является повышение эффективности муниципального управления.</w:t>
      </w:r>
    </w:p>
    <w:p>
      <w:pPr>
        <w:pStyle w:val="ConsPlusNormal"/>
        <w:tabs>
          <w:tab w:val="clear" w:pos="347"/>
          <w:tab w:val="left" w:pos="540" w:leader="none"/>
          <w:tab w:val="left" w:pos="720" w:leader="none"/>
        </w:tabs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Цель муниципальной программы - совершенствование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муниципального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управления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МО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ConsPlusNormal"/>
        <w:bidi w:val="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Достижение цели муниципальной программы обеспечивается путем решения следующих задач: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Повышение открытости и прозрачности деятельности органов местного самоуправления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  <w:lang w:val="en-US"/>
        </w:rPr>
        <w:t>М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О 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2. Формирование компактного, высокопрофессионального, оптимально сбалансированного и эффективного аппарата органов местного самоуправления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МО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3. Повышение эффективности и результативности деятельности органов местного самоуправления МО «Вуктыл».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Перечень и сведения о целевых индикаторах и показателях муниципальной программы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«Вуктыл» Республики Коми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Муниципальное управление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», приведены в таблице № 3.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Перечень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и характеристики основных мероприятий муниципальной программы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 w:eastAsia="ru-RU"/>
        </w:rPr>
        <w:t xml:space="preserve"> «Вуктыл» Республики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 xml:space="preserve">Коми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 и ведомственных целевых программ приведены в таблице № 4.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5 «</w:t>
      </w: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ru-RU" w:eastAsia="hi-IN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не ведется.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Информация по финансовому обеспечению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«Муниципальное управление» за счет средств  бюджета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«Вуктыл»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(с учетом средств межбюджетных трансфертов) приведена в таблице № 6.</w:t>
      </w:r>
    </w:p>
    <w:p>
      <w:pPr>
        <w:pStyle w:val="ConsPlusNormal"/>
        <w:ind w:firstLine="709" w:left="0" w:right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Ресурсное обеспечение и прогнозная (справочная) оценка расходов бюджета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муниципального округа «Вуктыл»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на реализацию целей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 «Муниципальное управление» (с учетом средств межбюджетных трансферов) приведена в таблице № 7.</w:t>
      </w:r>
    </w:p>
    <w:p>
      <w:pPr>
        <w:pStyle w:val="Normal"/>
        <w:tabs>
          <w:tab w:val="clear" w:pos="347"/>
          <w:tab w:val="left" w:pos="851" w:leader="none"/>
        </w:tabs>
        <w:suppressAutoHyphens w:val="fals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И</w:t>
      </w:r>
      <w:r>
        <w:rPr>
          <w:rFonts w:eastAsia="Courier New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ru-RU" w:eastAsia="hi-IN"/>
        </w:rPr>
        <w:t>нформация о налоговых расходах муниципального округа «Вуктыл», соответствующих цели муниципальной программы, целям подпрограмм, ее структурным элементам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 xml:space="preserve"> таблица № 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vertAlign w:val="superscript"/>
          <w:lang w:val="ru-RU" w:eastAsia="ru-RU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не ведется.</w:t>
      </w:r>
    </w:p>
    <w:p>
      <w:pPr>
        <w:pStyle w:val="ConsPlusNormal"/>
        <w:ind w:firstLine="567" w:left="0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ind w:firstLine="567" w:left="0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Таблица № 2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«Открытый муниципалитет»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ПАСПОРТ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подпрограммы «Открытый муниципалитет»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417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2616"/>
        <w:gridCol w:w="6800"/>
      </w:tblGrid>
      <w:tr>
        <w:trPr>
          <w:trHeight w:val="632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 исполнитель подпрограммы 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(Соисполнитель муниципальной программы)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ubtitle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Орг.отдел</w:t>
            </w:r>
          </w:p>
        </w:tc>
      </w:tr>
      <w:tr>
        <w:trPr>
          <w:trHeight w:val="35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(по согласованию)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519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Программно – целевые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</w:tr>
      <w:tr>
        <w:trPr/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Повышение открытости и прозрачности деятельности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</w:p>
        </w:tc>
      </w:tr>
      <w:tr>
        <w:trPr>
          <w:trHeight w:val="274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ConsPlusNonformat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BodyText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  <w:t>Обеспечение доступности информации о деятельности органов местного самоуправления</w:t>
            </w:r>
          </w:p>
        </w:tc>
      </w:tr>
      <w:tr>
        <w:trPr/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 показатели                   подпрограммы 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 Количество размещенных официальных пресс-релизов.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Количество проведенных публичных слушаний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 Количество размещенной информации о деятельности МО «Вуктыл» в ГАС «Управление»</w:t>
            </w:r>
          </w:p>
        </w:tc>
      </w:tr>
      <w:tr>
        <w:trPr>
          <w:trHeight w:val="86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 подпрограммы 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1: 2024–2030 годы.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1 этапы не выделяются</w:t>
            </w:r>
          </w:p>
        </w:tc>
      </w:tr>
      <w:tr>
        <w:trPr>
          <w:trHeight w:val="124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672" w:hRule="atLeast"/>
        </w:trPr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</w:t>
            </w:r>
          </w:p>
          <w:p>
            <w:pPr>
              <w:pStyle w:val="ConsPlusNonformat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1  составит 150 000,00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- 150 000,0,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  <w:tr>
        <w:trPr>
          <w:trHeight w:val="599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1</w:t>
            </w:r>
          </w:p>
        </w:tc>
        <w:tc>
          <w:tcPr>
            <w:tcW w:w="68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975" w:hRule="atLeast"/>
        </w:trPr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1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suppressAutoHyphens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suppressAutoHyphens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00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right w:w="0" w:type="dxa"/>
            </w:tcMar>
          </w:tcPr>
          <w:p>
            <w:pPr>
              <w:pStyle w:val="ConsPlusNormal"/>
              <w:widowControl w:val="false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1 к 2030 году ожидается: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Количество размещенных официальных пресс-релизов не менее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1750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единиц.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Количество проведенных публичных слушаний не менее 14 единиц.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Количество размещенной информации о деятельности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Вуктыл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в ГАС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Управление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» не менее 84 единиц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«Развитие кадрового потенциала»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ПАСПОРТ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подпрограммы «Развитие кадрового потенциала»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59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2490"/>
        <w:gridCol w:w="6868"/>
      </w:tblGrid>
      <w:tr>
        <w:trPr>
          <w:trHeight w:val="1072" w:hRule="atLeast"/>
        </w:trPr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Ответственный исполнитель подпрограммы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(Соисполнитель муниципальной программы)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ubtitle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</w:tr>
      <w:tr>
        <w:trPr>
          <w:trHeight w:val="623" w:hRule="atLeast"/>
        </w:trPr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Участники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согласованию)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Программно-целевые 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2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Формирование компактного, высокопрофессионального, оптимально сбалансированного и эффективного аппарата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Повышение эффективности профессиональной подготовки, переподготовки и повышения квалификации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«Вуктыл», являющихся юридическими лицами.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Совершенствование системы оценки персонала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показатели подпрограммы 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Доля утвержденных, актуализированных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 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 реализации подпрограммы 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2: 2024–2030 годы.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2 этапы не выделяются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Объемы 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2 составит 30 000,00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- 30 000,00,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финансирования региональных проектов (проектов), реализуемых в рамках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2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2 к 2030 году ожидается: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не менее 35   процентов.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Доля утвержденных, актуализированных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 не менее 100 процентов.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3. Доля вакантных должностей муниципальной службы, замещенных по результатам конкурса, от общего числа замещенных вакансий муниципальной службы не менее 40 процентов</w:t>
            </w:r>
          </w:p>
        </w:tc>
      </w:tr>
    </w:tbl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«Обеспечение органов местного самоуправления»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ПАСПОРТ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подпрограммы «Обеспечение органов местного самоуправления»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53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2486"/>
        <w:gridCol w:w="6866"/>
      </w:tblGrid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 исполнитель 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  <w:p>
            <w:pPr>
              <w:pStyle w:val="ConsPlusNonformat"/>
              <w:widowControl w:val="false"/>
              <w:suppressAutoHyphens w:val="tru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(Соисполнитель муниципальной программы)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СриЗ</w:t>
            </w:r>
          </w:p>
        </w:tc>
      </w:tr>
      <w:tr>
        <w:trPr>
          <w:trHeight w:val="300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согласованию)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Программно-целевые 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Повышение эффективности и результативности деятельности органов местного самоуправления МО «Вуктыл»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Осуществление в пределах своей компетентности исполнительно-распорядительных полномочий органов местного самоуправления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показатели подпрограммы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Доля положительно решенных обращений граждан от общего числа обращений, поступивших в администрацию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3: 2025–2030 годы.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3 этапы не выделяются</w:t>
            </w:r>
          </w:p>
        </w:tc>
      </w:tr>
      <w:tr>
        <w:trPr>
          <w:trHeight w:val="893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Региональные проекты (проекты) реализуемые в рамках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893" w:hRule="atLeast"/>
        </w:trPr>
        <w:tc>
          <w:tcPr>
            <w:tcW w:w="248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6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3 составит 262 032 998,79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местного бюджета — 239 028 135,79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98 006 583,29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90 590 048,29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84 092 410,47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76 425 959,47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 79 934 005,03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72 012 128,03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2 891 573,00 рубля</w:t>
            </w:r>
          </w:p>
        </w:tc>
      </w:tr>
      <w:tr>
        <w:trPr>
          <w:trHeight w:val="1233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113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233" w:hRule="atLeast"/>
        </w:trPr>
        <w:tc>
          <w:tcPr>
            <w:tcW w:w="248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3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3 к 2030 году ожидается: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доля положительно решенных обращений граждан от общего числа обращений, поступивших в администрацию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«Вуктыл» не менее 20 процентов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  <w:t>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«Ремонт, капитальный ремонт и реконструкция здания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  <w:t>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подпрограммы «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Р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ar-SA"/>
        </w:rPr>
        <w:t xml:space="preserve">емонт, капитальный ремонт и реконструкция здания администрации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муниципального округа «Вуктыл» Республики Коми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(далее - подпрограмма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en-US" w:eastAsia="ru-RU"/>
        </w:rPr>
        <w:t>4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tbl>
      <w:tblPr>
        <w:tblW w:w="9344" w:type="dxa"/>
        <w:jc w:val="left"/>
        <w:tblInd w:w="-6" w:type="dxa"/>
        <w:tblLayout w:type="fixed"/>
        <w:tblCellMar>
          <w:top w:w="102" w:type="dxa"/>
          <w:left w:w="5" w:type="dxa"/>
          <w:bottom w:w="102" w:type="dxa"/>
          <w:right w:w="52" w:type="dxa"/>
        </w:tblCellMar>
      </w:tblPr>
      <w:tblGrid>
        <w:gridCol w:w="2433"/>
        <w:gridCol w:w="6910"/>
      </w:tblGrid>
      <w:tr>
        <w:trPr>
          <w:trHeight w:val="478" w:hRule="atLeast"/>
        </w:trPr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Ответственный исполнитель 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  <w:p>
            <w:pPr>
              <w:pStyle w:val="ConsPlusNonformat"/>
              <w:widowControl w:val="false"/>
              <w:suppressAutoHyphens w:val="fals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(Соисполнитель муниципальной программы)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17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</w:t>
            </w:r>
          </w:p>
        </w:tc>
      </w:tr>
      <w:tr>
        <w:trPr>
          <w:trHeight w:val="235" w:hRule="atLeast"/>
        </w:trPr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Участники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 согласованию)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ind w:hanging="0" w:left="0" w:right="163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ru-RU"/>
              </w:rPr>
              <w:t>-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Программно-целевые инструменты 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-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Цели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подпрограммы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Улучшение технического состояния здания, помещений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Задачи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Обеспечение устойчивости и надежности здания, помещений администрации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Целевые индикаторы и показатели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Количество объектов администрации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Этапы и сроки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реализации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Сроки реализации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: 2024–2030 годы.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не выделяются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3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</w:tc>
        <w:tc>
          <w:tcPr>
            <w:tcW w:w="6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 4 составит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—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финансирования региональных проектов (проектов), реализуемых в рамках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fals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3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4</w:t>
            </w:r>
          </w:p>
        </w:tc>
        <w:tc>
          <w:tcPr>
            <w:tcW w:w="6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4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к 2030 году ожидается: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улучшение технического состояния объектов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«Вуктыл»</w:t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993" w:footer="0" w:bottom="72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3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Перечень и сведения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о целевых индикаторах и показателях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ConsPlusNormal"/>
        <w:jc w:val="center"/>
        <w:rPr>
          <w:color w:val="auto"/>
        </w:rPr>
      </w:pPr>
      <w:r>
        <w:rPr>
          <w:color w:val="auto"/>
        </w:rPr>
      </w:r>
    </w:p>
    <w:tbl>
      <w:tblPr>
        <w:tblW w:w="1513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"/>
        <w:gridCol w:w="4249"/>
        <w:gridCol w:w="966"/>
        <w:gridCol w:w="784"/>
        <w:gridCol w:w="967"/>
        <w:gridCol w:w="850"/>
        <w:gridCol w:w="849"/>
        <w:gridCol w:w="851"/>
        <w:gridCol w:w="850"/>
        <w:gridCol w:w="849"/>
        <w:gridCol w:w="851"/>
        <w:gridCol w:w="850"/>
        <w:gridCol w:w="849"/>
        <w:gridCol w:w="850"/>
      </w:tblGrid>
      <w:tr>
        <w:trPr/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ind w:hanging="11" w:left="11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br/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Наименование целевого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индикатора (показателя)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Ед.   </w:t>
              <w:br/>
              <w:t>измерения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Направленность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Принадлежность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Значение индикатора  (показателя)</w:t>
            </w:r>
          </w:p>
        </w:tc>
      </w:tr>
      <w:tr>
        <w:trPr/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факт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2027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2028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2029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33" w:type="dxa"/>
        <w:jc w:val="left"/>
        <w:tblInd w:w="12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482"/>
        <w:gridCol w:w="4284"/>
        <w:gridCol w:w="966"/>
        <w:gridCol w:w="784"/>
        <w:gridCol w:w="967"/>
        <w:gridCol w:w="850"/>
        <w:gridCol w:w="849"/>
        <w:gridCol w:w="851"/>
        <w:gridCol w:w="850"/>
        <w:gridCol w:w="849"/>
        <w:gridCol w:w="851"/>
        <w:gridCol w:w="850"/>
        <w:gridCol w:w="849"/>
        <w:gridCol w:w="850"/>
      </w:tblGrid>
      <w:tr>
        <w:trPr>
          <w:tblHeader w:val="true"/>
          <w:trHeight w:val="283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14</w:t>
            </w:r>
          </w:p>
        </w:tc>
      </w:tr>
      <w:tr>
        <w:trPr/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 «Муниципальное управление»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Уровень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деятельностью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Подпрограмма 1 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Открытый муниципалитет</w:t>
            </w:r>
            <w:r>
              <w:rPr/>
              <w:t>»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6"/>
              <w:widowControl w:val="false"/>
              <w:shd w:val="clear" w:fill="FFFFFF"/>
              <w:suppressAutoHyphens w:val="false"/>
              <w:bidi w:val="0"/>
              <w:spacing w:before="57" w:after="57"/>
              <w:ind w:hanging="0" w:left="0"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 «Обеспечение доступности информации о деятельности органов местного самоуправления»</w:t>
            </w:r>
          </w:p>
        </w:tc>
      </w:tr>
      <w:tr>
        <w:trPr>
          <w:trHeight w:val="31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размещенных официальных пресс-релизов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250</w:t>
            </w:r>
          </w:p>
        </w:tc>
      </w:tr>
      <w:tr>
        <w:trPr>
          <w:trHeight w:val="7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Style23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проведенных публичных слушаний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</w:tr>
      <w:tr>
        <w:trPr>
          <w:trHeight w:val="962" w:hRule="atLeast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8.</w:t>
            </w:r>
          </w:p>
        </w:tc>
        <w:tc>
          <w:tcPr>
            <w:tcW w:w="4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29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Количество размещенной информации о деятельности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Вуктыл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в ГАС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Управление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единиц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ИЗ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«Развитие кадрового потенциала»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Задача 1. «Повышение эффективности профессиональной подготовки, переподготовки и повышения квалификации специалистов администрации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«Вуктыл»,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 МО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«Вуктыл», являющихся юридическими лицами»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bookmarkStart w:id="2" w:name="__DdeLink__49477_765487146"/>
            <w:bookmarkEnd w:id="2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35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2. «Совершенствование системы оценки персонала»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5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утвержденных, актуализированных 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147" w:right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147" w:right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Подпрограмма 3 «Обеспечение органов местного самоуправления»</w:t>
            </w:r>
          </w:p>
        </w:tc>
      </w:tr>
      <w:tr>
        <w:trPr>
          <w:trHeight w:val="178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«Осуществление в пределах своей компетенции исполнительно-распорядительных полномочий органов местного самоуправления»</w:t>
            </w:r>
          </w:p>
        </w:tc>
      </w:tr>
      <w:tr>
        <w:trPr>
          <w:trHeight w:val="266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Подпрограмма 4 «Р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</w:tr>
      <w:tr>
        <w:trPr>
          <w:trHeight w:val="143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«Обеспечение устойчивости и надежности здания, помещений администрации  МО «Вуктыл»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объектов администрации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в которых улучшилось техническое состояние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Таблица №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и характеристики основных мероприятий муниципальной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программы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 и ведомственных целевых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95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618"/>
        <w:gridCol w:w="4230"/>
        <w:gridCol w:w="1315"/>
        <w:gridCol w:w="922"/>
        <w:gridCol w:w="995"/>
        <w:gridCol w:w="4369"/>
        <w:gridCol w:w="2745"/>
      </w:tblGrid>
      <w:tr>
        <w:trPr>
          <w:trHeight w:val="225" w:hRule="atLeast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br/>
              <w:t>п/п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Номер и наименование   ведомственной целевой программы(далее-ВЦП),  </w:t>
              <w:br/>
              <w:t>основного мероприятия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</w:t>
              <w:br/>
              <w:t xml:space="preserve"> исполнитель ВЦП, основного мероприятия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   </w:t>
              <w:br/>
              <w:t xml:space="preserve"> начала реализации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 окончания </w:t>
              <w:br/>
              <w:t>реализации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Основные направления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Связь с целевыми индикаторами и показателями муниципальной программы (подпрограммы)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88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624"/>
        <w:gridCol w:w="4251"/>
        <w:gridCol w:w="1262"/>
        <w:gridCol w:w="951"/>
        <w:gridCol w:w="1011"/>
        <w:gridCol w:w="4370"/>
        <w:gridCol w:w="2718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«Открытый муниципалитет»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«Обеспечение доступности информации о деятельности органов местного самоуправления»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1.1.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Размещение официальных пресс-релизов на официальном сайте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; проведение «прямых линий»; проведение встреч с населением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; проведение встреч сотрудников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отдел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размещению официальных пресс-релизов на официальном сайте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встреч сотрудников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Количество размещенных официальных пресс-релизов.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ИЗ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проведенных публичных слушаний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1.2.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Обеспечение открытости и прозрачности 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отдел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размещению официальных пресс-релизов на официальном сайте администрации 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встреч сотрудников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Количество размещенной информации о деятельности МО «Вуктыл» в ГАС «Управление»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Подпрограмма 2 «Развитие кадрового потенциала»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1. «Повышение эффективности профессиональной подготовки, переподготовки и повышения квалификации специалистов администрации МО «Вуктыл», отраслевых (функциональных) органов администрации МО «Вуктыл», являющихся юридическими лицами»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мероприятия 1.1.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Организация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ИС 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мероприятия 1.2.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Обеспечение непрерывного профессионального развития кадров в системе муниципального 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5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2. «Совершенствование системы оценки персонала»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1127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Организация аттестации муниципальных служащих администрации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аттестации муниципальных служащих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утвержденных, актуализированных 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 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утверждению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pacing w:lineRule="auto" w:line="240" w:before="0" w:after="0"/>
              <w:ind w:firstLine="34" w:left="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ИЦ Количество мероприятий, направленных на повышение  эффективности и результативности работы отдела кадров и трудовых отношений администрации МО «Вуктыл», ответственных работников за кадровое делопроизводство отраслевых (функциональных) органов администрации МО «Вуктыл», являющихся юридическими лицами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2.3.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организации внедрения конкурсных процедур при назначении на должности муниципальной службы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pacing w:lineRule="auto" w:line="240" w:before="0" w:after="0"/>
              <w:ind w:firstLine="34" w:left="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ИЗ 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eastAsia="ru-RU"/>
              </w:rPr>
              <w:t>Подпрограмма 3 «Обеспечение органов местного самоуправления»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«Осуществление в пределах своей компетенции исполнительно – распорядительных полномочий органов местного самоуправления»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66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1.1.</w:t>
            </w:r>
          </w:p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СРиЗ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выполнению функций и полномочий органов местного самоуправления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ИС Уровень удовлетворенности деятельностью органов местного самоуправления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</w:tr>
      <w:tr>
        <w:trPr>
          <w:trHeight w:val="563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9.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1.2.</w:t>
            </w:r>
          </w:p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СРиЗ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Выполнение функций Главы муниципального округа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Республики 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руководитель администрации  (далее — глава МО «Вуктыл» РК - руководитель администрации)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«Вуктыл».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ИС Уровень удовлетворенности деятельностью органов местного самоуправления 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Подпрограмма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 4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«Обеспечение устойчивости и надежности здания, помещений администрации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639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Основное мероприятие 1.1.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Выполнение работ по ремонту, капитальному ремонту здания администрации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C9211E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Проведение мероприятий по организации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ИЗ Количество объектов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Основное мероприятие 1.2.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Выполнение работ по составлению сметной документации для выполнения работ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 ремонту, капитальному ремонту здания администрации МО 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20230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Проведение мероприятий по организации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ИЗ Количество объектов администрации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Информация по финансовому обеспечению  муниципальной программы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за счет средств бюджета муниципального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 xml:space="preserve">округа «Вуктыл»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(с учетом средств межбюджетных трансфертов)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88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7"/>
        <w:gridCol w:w="2126"/>
        <w:gridCol w:w="3750"/>
        <w:gridCol w:w="1756"/>
        <w:gridCol w:w="1754"/>
        <w:gridCol w:w="1764"/>
        <w:gridCol w:w="1755"/>
        <w:gridCol w:w="1744"/>
      </w:tblGrid>
      <w:tr>
        <w:trPr/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муниципальной программы,  подпрограммы, ВЦП,</w:t>
              <w:br/>
              <w:t>основного мероприятия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Расходы, руб.</w:t>
            </w:r>
          </w:p>
        </w:tc>
      </w:tr>
      <w:tr>
        <w:trPr/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(нарастающим итогом с начала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реализации программы)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hanging="0" w:left="567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2026 год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    </w:t>
      </w:r>
    </w:p>
    <w:tbl>
      <w:tblPr>
        <w:tblW w:w="15183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66"/>
        <w:gridCol w:w="2097"/>
        <w:gridCol w:w="3750"/>
        <w:gridCol w:w="1753"/>
        <w:gridCol w:w="1754"/>
        <w:gridCol w:w="1761"/>
        <w:gridCol w:w="1755"/>
        <w:gridCol w:w="1745"/>
      </w:tblGrid>
      <w:tr>
        <w:trPr>
          <w:tblHeader w:val="true"/>
          <w:trHeight w:val="284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262212998,79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98066583,29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>
          <w:trHeight w:val="83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- 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98006583,29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84092410,47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79934005,03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Соисполнитель - ОС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«Открытый муниципалитет»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392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3025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официальных пресс-релизов на офици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альном сайте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 проведение встреч со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трудников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0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82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Обеспечение открытости и прозрачности 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66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«Развитие кадрового потенциала»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298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15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обучения специа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листов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778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Обеспечение непрерывного профессионального развития кадров в системе муниципального 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78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аттестации муниципальных служащих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281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2.3.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98006583,29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>
          <w:trHeight w:val="270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98006583,29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>
          <w:trHeight w:val="65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65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405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Ремонт, капитальный ремонт и реконструкция здания администрац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 xml:space="preserve">ии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работ по ремонту, капитальному ремон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16.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Выполнение работ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</w:rPr>
              <w:t xml:space="preserve">по составлению сметной документации для выполнения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eastAsia="ru-RU"/>
              </w:rPr>
              <w:t>МО «Вуктыл»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Ресурсное обеспечение и прогнозная (справочная) оценка расходов бюджета муниципального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 xml:space="preserve">округа «Вуктыл»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на реализацию целей муниципальной программы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(с учетом межбюджетных трансферов)      </w:t>
      </w:r>
    </w:p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</w:p>
    <w:tbl>
      <w:tblPr>
        <w:tblW w:w="1518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8"/>
        <w:gridCol w:w="1988"/>
        <w:gridCol w:w="2437"/>
        <w:gridCol w:w="3413"/>
        <w:gridCol w:w="1689"/>
        <w:gridCol w:w="1710"/>
        <w:gridCol w:w="1706"/>
        <w:gridCol w:w="1625"/>
      </w:tblGrid>
      <w:tr>
        <w:trPr/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программы,  подпрограммы ВЦП,  основного мероприятия</w:t>
            </w:r>
          </w:p>
        </w:tc>
        <w:tc>
          <w:tcPr>
            <w:tcW w:w="3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расходов, руб.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4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(нарастающим итогом с начала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</w:tr>
    </w:tbl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33" w:type="dxa"/>
        <w:jc w:val="left"/>
        <w:tblInd w:w="-15" w:type="dxa"/>
        <w:tblLayout w:type="fixed"/>
        <w:tblCellMar>
          <w:top w:w="55" w:type="dxa"/>
          <w:left w:w="5" w:type="dxa"/>
          <w:bottom w:w="55" w:type="dxa"/>
          <w:right w:w="45" w:type="dxa"/>
        </w:tblCellMar>
      </w:tblPr>
      <w:tblGrid>
        <w:gridCol w:w="567"/>
        <w:gridCol w:w="1982"/>
        <w:gridCol w:w="2440"/>
        <w:gridCol w:w="3394"/>
        <w:gridCol w:w="1707"/>
        <w:gridCol w:w="1712"/>
        <w:gridCol w:w="1705"/>
        <w:gridCol w:w="1624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163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</w:t>
              <w:br/>
              <w:t>программа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262212998,79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98066583,29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262212998,79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98066583,29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84152410,47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79994005,03</w:t>
            </w:r>
          </w:p>
        </w:tc>
      </w:tr>
      <w:tr>
        <w:trPr>
          <w:trHeight w:val="39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239208135,79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90650048,29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76485959,47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72072128,03</w:t>
            </w:r>
          </w:p>
        </w:tc>
      </w:tr>
      <w:tr>
        <w:trPr>
          <w:trHeight w:val="33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35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2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«Открытый муниципалитет»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82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официальных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пресс-релизов на официальном сайте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; проведение «прямых линий»; проведение встреч с населением 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проведение встреч сотрудников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открытости и прозрачности 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«Развитие кадрового потенциала»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33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Организация обучения специалистов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30000,00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непрерывного профессионального развития кадров в системе муниципального 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Организация аттестации муниципальных служащих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98006583,29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98006583,29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239028135,79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90590048,29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76425959,47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72012128,03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1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651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227634172,04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86267896,35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72783044,37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68583231,32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38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81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Выполнение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Выполнение работ по составлению сметной документации для выполнения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widowControl/>
        <w:tabs>
          <w:tab w:val="clear" w:pos="347"/>
          <w:tab w:val="left" w:pos="15250" w:leader="none"/>
        </w:tabs>
        <w:suppressAutoHyphens w:val="true"/>
        <w:bidi w:val="0"/>
        <w:spacing w:lineRule="auto" w:line="240" w:before="0" w:after="200"/>
        <w:ind w:hanging="0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».</w:t>
      </w:r>
    </w:p>
    <w:sectPr>
      <w:type w:val="nextPage"/>
      <w:pgSz w:orient="landscape" w:w="16838" w:h="11906"/>
      <w:pgMar w:left="850" w:right="851" w:gutter="0" w:header="0" w:top="1559" w:footer="0" w:bottom="1559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mirrorMargin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2z1">
    <w:name w:val="WW8Num2z1"/>
    <w:qFormat/>
    <w:rPr>
      <w:rFonts w:cs="Times New Roman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>
      <w:rFonts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styleId="Style18">
    <w:name w:val="Заголовок сообщения (текст)"/>
    <w:qFormat/>
    <w:rPr>
      <w:b/>
      <w:sz w:val="18"/>
      <w:lang w:bidi="ar-SA"/>
    </w:rPr>
  </w:style>
  <w:style w:type="paragraph" w:styleId="Style19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6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9">
    <w:name w:val="Шапка"/>
    <w:basedOn w:val="BodyText"/>
    <w:qFormat/>
    <w:pPr>
      <w:keepLines/>
      <w:spacing w:before="0" w:after="120"/>
      <w:ind w:hanging="1080" w:left="1080" w:right="0"/>
      <w:jc w:val="left"/>
    </w:pPr>
    <w:rPr>
      <w:caps/>
      <w:sz w:val="18"/>
    </w:rPr>
  </w:style>
  <w:style w:type="paragraph" w:styleId="Style30">
    <w:name w:val="Верхний колонтитул справа"/>
    <w:basedOn w:val="Header"/>
    <w:qFormat/>
    <w:pPr>
      <w:suppressLineNumbers/>
      <w:tabs>
        <w:tab w:val="clear" w:pos="9355"/>
        <w:tab w:val="center" w:pos="4677" w:leader="none"/>
        <w:tab w:val="right" w:pos="9354" w:leader="none"/>
      </w:tabs>
      <w:jc w:val="righ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25753</TotalTime>
  <Application>LibreOffice/7.6.2.1$Windows_X86_64 LibreOffice_project/56f7684011345957bbf33a7ee678afaf4d2ba333</Application>
  <AppVersion>15.0000</AppVersion>
  <Pages>33</Pages>
  <Words>5593</Words>
  <Characters>39240</Characters>
  <CharactersWithSpaces>44267</CharactersWithSpaces>
  <Paragraphs>1594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2024-02-02T15:30:59Z</cp:lastPrinted>
  <dcterms:modified xsi:type="dcterms:W3CDTF">2024-02-18T20:31:04Z</dcterms:modified>
  <cp:revision>894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